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Pr="005B007D" w:rsidRDefault="00684FD4" w:rsidP="005B007D">
      <w:pPr>
        <w:spacing w:line="480" w:lineRule="auto"/>
        <w:jc w:val="center"/>
        <w:rPr>
          <w:rFonts w:ascii="Times New Roman" w:eastAsia="Times New Roman" w:hAnsi="Times New Roman" w:cs="Times New Roman"/>
          <w:b/>
          <w:bCs/>
          <w:color w:val="000000" w:themeColor="text1"/>
          <w:sz w:val="24"/>
          <w:szCs w:val="24"/>
        </w:rPr>
      </w:pPr>
      <w:r w:rsidRPr="005B007D">
        <w:rPr>
          <w:rFonts w:ascii="Times New Roman" w:eastAsia="Times New Roman" w:hAnsi="Times New Roman" w:cs="Times New Roman"/>
          <w:b/>
          <w:bCs/>
          <w:color w:val="000000" w:themeColor="text1"/>
          <w:sz w:val="24"/>
          <w:szCs w:val="24"/>
        </w:rPr>
        <w:t>Chronic Back Pain</w:t>
      </w:r>
    </w:p>
    <w:p w:rsidR="005B007D" w:rsidRDefault="00684FD4" w:rsidP="005B007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5B007D" w:rsidRDefault="00684FD4" w:rsidP="005B007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5B007D" w:rsidRDefault="00684FD4" w:rsidP="005B007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5B007D" w:rsidRDefault="005B007D" w:rsidP="005B007D">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5B007D" w:rsidRDefault="005B007D" w:rsidP="00FF3ED2">
      <w:pPr>
        <w:spacing w:line="480" w:lineRule="auto"/>
        <w:jc w:val="center"/>
        <w:rPr>
          <w:rFonts w:ascii="Times New Roman" w:hAnsi="Times New Roman" w:cs="Times New Roman"/>
          <w:b/>
          <w:bCs/>
          <w:color w:val="000000" w:themeColor="text1"/>
          <w:sz w:val="24"/>
          <w:szCs w:val="24"/>
        </w:rPr>
      </w:pPr>
    </w:p>
    <w:p w:rsidR="00740404" w:rsidRPr="004B5FE4" w:rsidRDefault="00684FD4" w:rsidP="00FF3ED2">
      <w:pPr>
        <w:spacing w:line="480" w:lineRule="auto"/>
        <w:jc w:val="center"/>
        <w:rPr>
          <w:rFonts w:ascii="Times New Roman" w:hAnsi="Times New Roman" w:cs="Times New Roman"/>
          <w:b/>
          <w:bCs/>
          <w:color w:val="000000" w:themeColor="text1"/>
          <w:sz w:val="24"/>
          <w:szCs w:val="24"/>
        </w:rPr>
      </w:pPr>
      <w:r w:rsidRPr="004B5FE4">
        <w:rPr>
          <w:rFonts w:ascii="Times New Roman" w:hAnsi="Times New Roman" w:cs="Times New Roman"/>
          <w:b/>
          <w:bCs/>
          <w:color w:val="000000" w:themeColor="text1"/>
          <w:sz w:val="24"/>
          <w:szCs w:val="24"/>
        </w:rPr>
        <w:lastRenderedPageBreak/>
        <w:t>Case Study: Chronic Backpain</w:t>
      </w:r>
    </w:p>
    <w:p w:rsidR="000D0A61" w:rsidRPr="00FF3ED2" w:rsidRDefault="00684FD4" w:rsidP="00FF3ED2">
      <w:pPr>
        <w:spacing w:line="480" w:lineRule="auto"/>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History</w:t>
      </w:r>
    </w:p>
    <w:p w:rsidR="00224838"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Patient Information: HD is a 69-year-old female patient </w:t>
      </w:r>
    </w:p>
    <w:p w:rsidR="00224838"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Chief Complaint: The patient presented her case in the health care facility following a colonoscopy done the previous week. She states that she visited the hospital for a checkup, and she requested an MRI (magnetic resonance imaging) for chronic back pain.</w:t>
      </w:r>
    </w:p>
    <w:p w:rsidR="00224838"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History of Present Illness: The patient's illness was noted when the patient realized to have rectal bleeding on 17</w:t>
      </w:r>
      <w:r w:rsidRPr="00FF3ED2">
        <w:rPr>
          <w:rFonts w:ascii="Times New Roman" w:hAnsi="Times New Roman" w:cs="Times New Roman"/>
          <w:color w:val="000000" w:themeColor="text1"/>
          <w:sz w:val="24"/>
          <w:szCs w:val="24"/>
          <w:vertAlign w:val="superscript"/>
        </w:rPr>
        <w:t>th</w:t>
      </w:r>
      <w:r w:rsidRPr="00FF3ED2">
        <w:rPr>
          <w:rFonts w:ascii="Times New Roman" w:hAnsi="Times New Roman" w:cs="Times New Roman"/>
          <w:color w:val="000000" w:themeColor="text1"/>
          <w:sz w:val="24"/>
          <w:szCs w:val="24"/>
        </w:rPr>
        <w:t xml:space="preserve"> and 18</w:t>
      </w:r>
      <w:r w:rsidRPr="00FF3ED2">
        <w:rPr>
          <w:rFonts w:ascii="Times New Roman" w:hAnsi="Times New Roman" w:cs="Times New Roman"/>
          <w:color w:val="000000" w:themeColor="text1"/>
          <w:sz w:val="24"/>
          <w:szCs w:val="24"/>
          <w:vertAlign w:val="superscript"/>
        </w:rPr>
        <w:t>th</w:t>
      </w:r>
      <w:r w:rsidRPr="00FF3ED2">
        <w:rPr>
          <w:rFonts w:ascii="Times New Roman" w:hAnsi="Times New Roman" w:cs="Times New Roman"/>
          <w:color w:val="000000" w:themeColor="text1"/>
          <w:sz w:val="24"/>
          <w:szCs w:val="24"/>
        </w:rPr>
        <w:t xml:space="preserve"> July 2015. The patient visited Gardena Memorial hospital, where she was given a referral to a California medical center where a colonoscopy was done. </w:t>
      </w:r>
      <w:r w:rsidR="00167BFF" w:rsidRPr="00FF3ED2">
        <w:rPr>
          <w:rFonts w:ascii="Times New Roman" w:hAnsi="Times New Roman" w:cs="Times New Roman"/>
          <w:color w:val="000000" w:themeColor="text1"/>
          <w:sz w:val="24"/>
          <w:szCs w:val="24"/>
        </w:rPr>
        <w:t xml:space="preserve">The information was signed by the patent and sent to California hospital. </w:t>
      </w:r>
    </w:p>
    <w:p w:rsidR="00167BFF"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Allergies: The patient stated that she is allergic to codeine. The administration of codeine is associated with cases of skin rashes and pruritus. </w:t>
      </w:r>
    </w:p>
    <w:p w:rsidR="00167BFF"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Medical History: The past medical HistoryHistory of the patient reveals various medical conditions, including cancer, active hypertension, cardiac disease, degenerative joint disease (DJD) of the left knee, left arm and pain in the shoulder, and breast obesity. The patient did not provide the actual time of occurrence and management of the diseases that were done.</w:t>
      </w:r>
    </w:p>
    <w:p w:rsidR="00167BFF"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Past Surgical History: The patient presented a history of mastectomy. </w:t>
      </w:r>
    </w:p>
    <w:p w:rsidR="003D6B24"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Current Medications: oral Lasix 200g per day, oral Topamax 50mg BID, oral norco 10/325mg PRN, oral naproxen 375mg Bid and oral lisinopril 40mg per day. </w:t>
      </w:r>
    </w:p>
    <w:p w:rsidR="00167BFF"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Family history: </w:t>
      </w:r>
      <w:r w:rsidR="003D6B24" w:rsidRPr="00FF3ED2">
        <w:rPr>
          <w:rFonts w:ascii="Times New Roman" w:hAnsi="Times New Roman" w:cs="Times New Roman"/>
          <w:color w:val="000000" w:themeColor="text1"/>
          <w:sz w:val="24"/>
          <w:szCs w:val="24"/>
        </w:rPr>
        <w:t>The patient does not verbalize any history of genetically related illnesses in the family.</w:t>
      </w:r>
    </w:p>
    <w:p w:rsidR="003D6B24"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lastRenderedPageBreak/>
        <w:t>Social HistoryHistory: the patient is married and does not consume alcohol or any other abused drugs. The smoking status is unknown in past HistoryHistory.</w:t>
      </w:r>
    </w:p>
    <w:p w:rsidR="003D6B24"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Sexual HistoryHistory: the patient is sexually active with a single partner.</w:t>
      </w:r>
    </w:p>
    <w:p w:rsidR="003A5062" w:rsidRPr="00FF3ED2" w:rsidRDefault="00684FD4" w:rsidP="00763DC6">
      <w:pPr>
        <w:spacing w:line="480" w:lineRule="auto"/>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Review of Systems</w:t>
      </w:r>
    </w:p>
    <w:p w:rsidR="003A5062"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HEENT- no headache, no dizziness, no changes in the vision, no pain in the eye, no discharge or tearing, ear pain is absent, no discharge, the nose is not congested, sore throat is missing, no swelling of the thyroid gland.</w:t>
      </w:r>
    </w:p>
    <w:p w:rsidR="003D6B24"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Cardiovascular system-patient revealed a history of hypertension.</w:t>
      </w:r>
    </w:p>
    <w:p w:rsidR="003A5062"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Respiratory- no wheezing, no shortness of breath, no cough</w:t>
      </w:r>
    </w:p>
    <w:p w:rsidR="003A5062"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Gastrointestinal- no abdominal pain, no blood in the stool, appetite is good.</w:t>
      </w:r>
    </w:p>
    <w:p w:rsidR="003A5062"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Genitourinary- no genital discharge, no dysuria, no hematuria </w:t>
      </w:r>
    </w:p>
    <w:p w:rsidR="003A5062"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Musculoskeletal system- joint pain present, history of DJD revealed, chronic back pain, </w:t>
      </w:r>
      <w:r w:rsidR="000D0A61" w:rsidRPr="00FF3ED2">
        <w:rPr>
          <w:rFonts w:ascii="Times New Roman" w:hAnsi="Times New Roman" w:cs="Times New Roman"/>
          <w:color w:val="000000" w:themeColor="text1"/>
          <w:sz w:val="24"/>
          <w:szCs w:val="24"/>
        </w:rPr>
        <w:t>and pain on the left arm and left shoulder showed.</w:t>
      </w:r>
    </w:p>
    <w:p w:rsidR="000D0A61"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Neurological- no tingling sensations, numbness, tremors, seizures or headache.</w:t>
      </w:r>
    </w:p>
    <w:p w:rsidR="000D0A61"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Endocrine- the patient reveals to be obese; no history of polyuria, polydipsia or polyphagia.</w:t>
      </w:r>
    </w:p>
    <w:p w:rsidR="000D0A61"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Hematological- no anemia, no bruising</w:t>
      </w:r>
    </w:p>
    <w:p w:rsidR="000D0A61"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Psychiatry- no mood swings, anxiety or insomnia.</w:t>
      </w:r>
    </w:p>
    <w:p w:rsidR="00645480" w:rsidRPr="00FF3ED2" w:rsidRDefault="00684FD4" w:rsidP="00763DC6">
      <w:pPr>
        <w:spacing w:line="480" w:lineRule="auto"/>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Physical Examination</w:t>
      </w:r>
    </w:p>
    <w:p w:rsidR="00645480"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General Survey: the patient is alert and well-oriented without any signs of distress.</w:t>
      </w:r>
    </w:p>
    <w:p w:rsidR="005B5F46"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lastRenderedPageBreak/>
        <w:t>Vital Signs: Blood pressure 136/87 (on the left arm in sitting position), temperature 97 F, pulse rate 66 beats per minute, Respiration 20 breaths per minute, Height 66inch, weight 293 lbs and BMI 47.29.</w:t>
      </w:r>
    </w:p>
    <w:p w:rsidR="005B5F46"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Skin: skin is warm, moist, intact with no rashes.</w:t>
      </w:r>
    </w:p>
    <w:p w:rsidR="000D0A61"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HEENT:  no masses, hair distribution, is normal, no lesions or scars; eyes are normal with no ptosis, conjunctivitis, bleeding or abnormal discharge; ears have no lesions, no discharge, with minimal cerumen; the nose has no discharge, the mucosa is pink, with no bogginess; the neck is normal with no stiffness or tenderness, no welling of the thyroid gland; the throat is clear without swellings, the mucosa is moist and pink.</w:t>
      </w:r>
    </w:p>
    <w:p w:rsidR="005B5F46"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Cardiac: heart rhythm is regular, no thrills, no heaves, S1 and S2 sounds are normal, no murmur.</w:t>
      </w:r>
    </w:p>
    <w:p w:rsidR="005B5F46"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Respiratory: chest expansion is symmetrical, </w:t>
      </w:r>
      <w:r w:rsidR="009D7778" w:rsidRPr="00FF3ED2">
        <w:rPr>
          <w:rFonts w:ascii="Times New Roman" w:hAnsi="Times New Roman" w:cs="Times New Roman"/>
          <w:color w:val="000000" w:themeColor="text1"/>
          <w:sz w:val="24"/>
          <w:szCs w:val="24"/>
        </w:rPr>
        <w:t>with no murmurs, no abnormal sounds.</w:t>
      </w:r>
    </w:p>
    <w:p w:rsidR="009D7778"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Gastrointestinal: normal with no distention of the abdomen, no diarrhea or vomiting. </w:t>
      </w:r>
    </w:p>
    <w:p w:rsidR="009D7778"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Genitourinary: no abnormal discharge, no dysuria, no hematuria.</w:t>
      </w:r>
    </w:p>
    <w:p w:rsidR="009D7778"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Musculoskeletal: no deformities, the range of motion of the limbs is not limited.</w:t>
      </w:r>
    </w:p>
    <w:p w:rsidR="009D7778"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Endocrine: the patient is overweight.</w:t>
      </w:r>
    </w:p>
    <w:p w:rsidR="009D7778" w:rsidRPr="00FF3ED2" w:rsidRDefault="00684FD4" w:rsidP="00FF3ED2">
      <w:pPr>
        <w:spacing w:line="480" w:lineRule="auto"/>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Psychiatry: the patient is well oriented without confusion, no mood swings.</w:t>
      </w:r>
    </w:p>
    <w:p w:rsidR="009D7778" w:rsidRPr="00FF3ED2" w:rsidRDefault="00684FD4" w:rsidP="00763DC6">
      <w:pPr>
        <w:spacing w:line="480" w:lineRule="auto"/>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Assessment</w:t>
      </w:r>
    </w:p>
    <w:p w:rsidR="009D7778" w:rsidRPr="00FF3ED2" w:rsidRDefault="00684FD4" w:rsidP="00763DC6">
      <w:pPr>
        <w:spacing w:line="480" w:lineRule="auto"/>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Primary Diagnosis: Chronic Back Pain</w:t>
      </w:r>
    </w:p>
    <w:p w:rsidR="009D7778" w:rsidRPr="00FF3ED2" w:rsidRDefault="00684FD4" w:rsidP="00763DC6">
      <w:p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The patient presents with complaints of pain in the left arm, shoulder and chronic back pain. The back pain episodes suggest the diagnosis of back pain, which is linked to other clinical features presented. The patient's assessment does not reveal the presence of other </w:t>
      </w:r>
      <w:r w:rsidRPr="00FF3ED2">
        <w:rPr>
          <w:rFonts w:ascii="Times New Roman" w:hAnsi="Times New Roman" w:cs="Times New Roman"/>
          <w:color w:val="000000" w:themeColor="text1"/>
          <w:sz w:val="24"/>
          <w:szCs w:val="24"/>
        </w:rPr>
        <w:lastRenderedPageBreak/>
        <w:t>complications or illnesses, which suggests the diagnosis of chronic back pain. However, other features, such as increased blood pressure and weight, are present.</w:t>
      </w:r>
    </w:p>
    <w:p w:rsidR="007B74CF" w:rsidRPr="00FF3ED2" w:rsidRDefault="00684FD4" w:rsidP="00763DC6">
      <w:pPr>
        <w:spacing w:after="0" w:line="480" w:lineRule="auto"/>
        <w:ind w:firstLine="851"/>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Pathophysiology</w:t>
      </w:r>
    </w:p>
    <w:p w:rsidR="007B74CF" w:rsidRPr="00FF3ED2" w:rsidRDefault="00684FD4" w:rsidP="00763DC6">
      <w:p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The caudal flexible portion of the axial structure, which supports the internal organs, extremities, and the head, is formed by the lumbar spine. The sacrum forms the foundation of the spine. The lumbar spine can support great loads. The anterior gravitational mobility is resisted through lordosis in the neutral posture. </w:t>
      </w:r>
      <w:r w:rsidR="004C5DA7" w:rsidRPr="00FF3ED2">
        <w:rPr>
          <w:rFonts w:ascii="Times New Roman" w:hAnsi="Times New Roman" w:cs="Times New Roman"/>
          <w:color w:val="000000" w:themeColor="text1"/>
          <w:sz w:val="24"/>
          <w:szCs w:val="24"/>
        </w:rPr>
        <w:t>The lumbar spine is d laterally and has mobility for both coronal and sagittal planes. The vertebrae are a specialized structure that transmits loads via the spine. The parallel lamellae, which is vascularized, enlarges the cross-sectional area due to gravitational loads from the caudal to cephalic segments. When there are compressions, the feeling of pain arises</w:t>
      </w:r>
      <w:r w:rsidR="007C19A2" w:rsidRPr="00FF3ED2">
        <w:rPr>
          <w:rFonts w:ascii="Times New Roman" w:hAnsi="Times New Roman" w:cs="Times New Roman"/>
          <w:color w:val="000000" w:themeColor="text1"/>
          <w:sz w:val="24"/>
          <w:szCs w:val="24"/>
        </w:rPr>
        <w:t xml:space="preserve"> (Allegri et al., 2016)</w:t>
      </w:r>
      <w:r w:rsidR="004C5DA7" w:rsidRPr="00FF3ED2">
        <w:rPr>
          <w:rFonts w:ascii="Times New Roman" w:hAnsi="Times New Roman" w:cs="Times New Roman"/>
          <w:color w:val="000000" w:themeColor="text1"/>
          <w:sz w:val="24"/>
          <w:szCs w:val="24"/>
        </w:rPr>
        <w:t xml:space="preserve">. The intervertebral disk is made of the inner nucleus and outer annulus fibrosis. The outer segment consists of proprioceptive and nociceptors nerve endings, enhancing the feelings of pain when compressions occur. The presence of repeated torsional and eccentric loads leads to radial and circumferential tears in the annular fibers. Some of the annular fibers may lead to </w:t>
      </w:r>
      <w:r w:rsidR="00120293" w:rsidRPr="00FF3ED2">
        <w:rPr>
          <w:rFonts w:ascii="Times New Roman" w:hAnsi="Times New Roman" w:cs="Times New Roman"/>
          <w:color w:val="000000" w:themeColor="text1"/>
          <w:sz w:val="24"/>
          <w:szCs w:val="24"/>
        </w:rPr>
        <w:t>separation of the endplate leading to additional loss and hydration. Also, the presence of circumferential tears may influence the migration of nuclear materials to migrate out of the annular containments causing the nerve root to be compressed and irritated, leading to pain. When an individual is a youthful age, 90% of the weight to the trijoint complex in the lumbar spine is felt across the disk's posterior third. However, as the disk's height decreases and loading shifts to the rear, the facet joints experience increased distribution of weight. Osteophytes compensate for the increased stress to enhance stabilization of the trijoint. With time hypertrophy of the bone in the vertebrae, endplate leads to foraminal and central canal narrowing. This change influences diminished anteroposterior canal diameter and foramen's potency with the neural compression</w:t>
      </w:r>
      <w:r w:rsidR="007C19A2" w:rsidRPr="00FF3ED2">
        <w:rPr>
          <w:rFonts w:ascii="Times New Roman" w:hAnsi="Times New Roman" w:cs="Times New Roman"/>
          <w:color w:val="000000" w:themeColor="text1"/>
          <w:sz w:val="24"/>
          <w:szCs w:val="24"/>
        </w:rPr>
        <w:t xml:space="preserve"> (Allegri et al., 2016)</w:t>
      </w:r>
      <w:r w:rsidR="00120293" w:rsidRPr="00FF3ED2">
        <w:rPr>
          <w:rFonts w:ascii="Times New Roman" w:hAnsi="Times New Roman" w:cs="Times New Roman"/>
          <w:color w:val="000000" w:themeColor="text1"/>
          <w:sz w:val="24"/>
          <w:szCs w:val="24"/>
        </w:rPr>
        <w:t>. The presence of the spine's stenosis reaches its peak in old individua</w:t>
      </w:r>
      <w:r w:rsidR="00DD3B1B" w:rsidRPr="00FF3ED2">
        <w:rPr>
          <w:rFonts w:ascii="Times New Roman" w:hAnsi="Times New Roman" w:cs="Times New Roman"/>
          <w:color w:val="000000" w:themeColor="text1"/>
          <w:sz w:val="24"/>
          <w:szCs w:val="24"/>
        </w:rPr>
        <w:t xml:space="preserve">ls, leading to </w:t>
      </w:r>
      <w:r w:rsidR="00DD3B1B" w:rsidRPr="00FF3ED2">
        <w:rPr>
          <w:rFonts w:ascii="Times New Roman" w:hAnsi="Times New Roman" w:cs="Times New Roman"/>
          <w:color w:val="000000" w:themeColor="text1"/>
          <w:sz w:val="24"/>
          <w:szCs w:val="24"/>
        </w:rPr>
        <w:lastRenderedPageBreak/>
        <w:t xml:space="preserve">vascular syndromes such as spinal cord ischemia and pseudo claudication, and myelopathy. Chronic back pain is common in the early phases of disk degeneration. The presence of impaired healing of the disk </w:t>
      </w:r>
      <w:r w:rsidR="005B56E5" w:rsidRPr="00FF3ED2">
        <w:rPr>
          <w:rFonts w:ascii="Times New Roman" w:hAnsi="Times New Roman" w:cs="Times New Roman"/>
          <w:color w:val="000000" w:themeColor="text1"/>
          <w:sz w:val="24"/>
          <w:szCs w:val="24"/>
        </w:rPr>
        <w:t>influenced by the low blood supply is the possible explanation that leads to chronic nociception. Various conditions are linked to chronic back pain. Muscle strain, which occurs from the repeated lifting of heavy loads, leads to painful muscle spasms. Also, bulging of the discs presses the nerves to enhance pain in the back. Arthritis increases the narrowing of the spinal cord's space, leading to spinal stenosis, which improves back pain. Osteoporosis also enhances painful fracture in the bone when it becomes brittle or parous. The risk factors for chronic back pain include the age of more than 40 years, lack of exercise, obesity, arthritis, cancer, psychological conditions, and smoking.</w:t>
      </w:r>
    </w:p>
    <w:p w:rsidR="005B56E5" w:rsidRPr="00FF3ED2" w:rsidRDefault="00684FD4" w:rsidP="00763DC6">
      <w:pPr>
        <w:spacing w:after="0" w:line="480" w:lineRule="auto"/>
        <w:ind w:firstLine="851"/>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Differential Diagnosis</w:t>
      </w:r>
    </w:p>
    <w:p w:rsidR="005D1336" w:rsidRPr="00FF3ED2" w:rsidRDefault="00684FD4" w:rsidP="00763DC6">
      <w:pPr>
        <w:pStyle w:val="ListParagraph"/>
        <w:numPr>
          <w:ilvl w:val="0"/>
          <w:numId w:val="1"/>
        </w:num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Rectal bleeding- one of the symptoms that the patient presented with in the past two weeks in the history was rectal bleeding. The bleeding led to a colonoscopy test, which was to detect any abnormality of the colon, which could have been related to the presence of chronic backache. The patient's Rectal bleeding does not present with other signs and symptoms such as nausea, anal pain, painful abdominal cramps, fainting, clammy skin, which could have provided a more evident reason for the diagnosis</w:t>
      </w:r>
      <w:r w:rsidR="007C19A2" w:rsidRPr="00FF3ED2">
        <w:rPr>
          <w:rFonts w:ascii="Times New Roman" w:hAnsi="Times New Roman" w:cs="Times New Roman"/>
          <w:color w:val="000000" w:themeColor="text1"/>
          <w:sz w:val="24"/>
          <w:szCs w:val="24"/>
        </w:rPr>
        <w:t xml:space="preserve"> (Bekkink et al., 2010)</w:t>
      </w:r>
      <w:r w:rsidRPr="00FF3ED2">
        <w:rPr>
          <w:rFonts w:ascii="Times New Roman" w:hAnsi="Times New Roman" w:cs="Times New Roman"/>
          <w:color w:val="000000" w:themeColor="text1"/>
          <w:sz w:val="24"/>
          <w:szCs w:val="24"/>
        </w:rPr>
        <w:t xml:space="preserve">. </w:t>
      </w:r>
    </w:p>
    <w:p w:rsidR="005D1336" w:rsidRPr="00FF3ED2" w:rsidRDefault="00684FD4" w:rsidP="00763DC6">
      <w:pPr>
        <w:pStyle w:val="ListParagraph"/>
        <w:numPr>
          <w:ilvl w:val="0"/>
          <w:numId w:val="1"/>
        </w:num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Hypertension- the patient presents with a history of hypertension. However, hypertension is under control when the patient presented her case to the hospital. The blood pressure measurement reveals that it was 136/87 mmHg, which was under the normal range for the patient. The differential diagnosis of hypertension is also </w:t>
      </w:r>
      <w:r w:rsidR="007E4F92" w:rsidRPr="00FF3ED2">
        <w:rPr>
          <w:rFonts w:ascii="Times New Roman" w:hAnsi="Times New Roman" w:cs="Times New Roman"/>
          <w:color w:val="000000" w:themeColor="text1"/>
          <w:sz w:val="24"/>
          <w:szCs w:val="24"/>
        </w:rPr>
        <w:t xml:space="preserve">suggested due to the presence of blood in the urine. However, the absence of other symptoms such as irregular heartbeats, chest pain, vision problems, fatigue, and severe headaches provides the reason for not validating hypertension as the actual </w:t>
      </w:r>
      <w:r w:rsidR="007E4F92" w:rsidRPr="00FF3ED2">
        <w:rPr>
          <w:rFonts w:ascii="Times New Roman" w:hAnsi="Times New Roman" w:cs="Times New Roman"/>
          <w:color w:val="000000" w:themeColor="text1"/>
          <w:sz w:val="24"/>
          <w:szCs w:val="24"/>
        </w:rPr>
        <w:lastRenderedPageBreak/>
        <w:t>diagnosis</w:t>
      </w:r>
      <w:r w:rsidR="007C19A2" w:rsidRPr="00FF3ED2">
        <w:rPr>
          <w:rFonts w:ascii="Times New Roman" w:hAnsi="Times New Roman" w:cs="Times New Roman"/>
          <w:color w:val="000000" w:themeColor="text1"/>
          <w:sz w:val="24"/>
          <w:szCs w:val="24"/>
        </w:rPr>
        <w:t xml:space="preserve"> (Kitt et al., 2019)</w:t>
      </w:r>
      <w:r w:rsidR="007E4F92" w:rsidRPr="00FF3ED2">
        <w:rPr>
          <w:rFonts w:ascii="Times New Roman" w:hAnsi="Times New Roman" w:cs="Times New Roman"/>
          <w:color w:val="000000" w:themeColor="text1"/>
          <w:sz w:val="24"/>
          <w:szCs w:val="24"/>
        </w:rPr>
        <w:t xml:space="preserve">. </w:t>
      </w:r>
      <w:r w:rsidR="00781B07" w:rsidRPr="00FF3ED2">
        <w:rPr>
          <w:rFonts w:ascii="Times New Roman" w:hAnsi="Times New Roman" w:cs="Times New Roman"/>
          <w:color w:val="000000" w:themeColor="text1"/>
          <w:sz w:val="24"/>
          <w:szCs w:val="24"/>
        </w:rPr>
        <w:t>Therefore, hypertension is not the priority for the patient's case since it is under control, and the patient does not experience complicated symptoms.</w:t>
      </w:r>
    </w:p>
    <w:p w:rsidR="007E4F92" w:rsidRPr="00FF3ED2" w:rsidRDefault="00684FD4" w:rsidP="00763DC6">
      <w:pPr>
        <w:pStyle w:val="ListParagraph"/>
        <w:numPr>
          <w:ilvl w:val="0"/>
          <w:numId w:val="1"/>
        </w:num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Obesity- the differential diagnosis for obesity is validated because the BMI is more than 30. Obesity is not validated as an actual diagnosis for the patient but as a risk factor for chronic back pain. The absence of signs such as fatigue, poor coping with exercise, snoring, increased sweating and breathlessness influences the invalidation of obesity as the actual diagnosis</w:t>
      </w:r>
      <w:r w:rsidR="007C19A2" w:rsidRPr="00FF3ED2">
        <w:rPr>
          <w:rFonts w:ascii="Times New Roman" w:hAnsi="Times New Roman" w:cs="Times New Roman"/>
          <w:color w:val="000000" w:themeColor="text1"/>
          <w:sz w:val="24"/>
          <w:szCs w:val="24"/>
        </w:rPr>
        <w:t xml:space="preserve"> (Fruh, 2017)</w:t>
      </w:r>
      <w:r w:rsidRPr="00FF3ED2">
        <w:rPr>
          <w:rFonts w:ascii="Times New Roman" w:hAnsi="Times New Roman" w:cs="Times New Roman"/>
          <w:color w:val="000000" w:themeColor="text1"/>
          <w:sz w:val="24"/>
          <w:szCs w:val="24"/>
        </w:rPr>
        <w:t xml:space="preserve">. </w:t>
      </w:r>
      <w:r w:rsidR="00781B07" w:rsidRPr="00FF3ED2">
        <w:rPr>
          <w:rFonts w:ascii="Times New Roman" w:hAnsi="Times New Roman" w:cs="Times New Roman"/>
          <w:color w:val="000000" w:themeColor="text1"/>
          <w:sz w:val="24"/>
          <w:szCs w:val="24"/>
        </w:rPr>
        <w:t>The management of obesity is not the priority, as it requires gradual address by the patient.</w:t>
      </w:r>
    </w:p>
    <w:p w:rsidR="00DD440C" w:rsidRPr="00FF3ED2" w:rsidRDefault="00684FD4" w:rsidP="00763DC6">
      <w:pPr>
        <w:spacing w:after="0" w:line="480" w:lineRule="auto"/>
        <w:ind w:firstLine="851"/>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Diagnosis</w:t>
      </w:r>
    </w:p>
    <w:p w:rsidR="008C5D6F" w:rsidRPr="00FF3ED2" w:rsidRDefault="00684FD4" w:rsidP="00763DC6">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X-ray- the use of an x-ray will be significant in revealing the alignment of the bones. The alignment of the bones will provide information about fractures, arthritis, and dislocations. However, x-rays cannot offer the chance to review the disks, nerves, muscles and spinal cord.</w:t>
      </w:r>
    </w:p>
    <w:p w:rsidR="008C5D6F" w:rsidRPr="00FF3ED2" w:rsidRDefault="00684FD4" w:rsidP="00763DC6">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CT scans and MRI- These scans enhance the development of images that reveals the problems with blood vessels, ligaments, nerves, tendons, tissues, muscles and bones. They also show the presence of hernias on the disks.</w:t>
      </w:r>
    </w:p>
    <w:p w:rsidR="008C5D6F" w:rsidRPr="00FF3ED2" w:rsidRDefault="00684FD4" w:rsidP="00763DC6">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Blood tests- the blood tests reveal bacterial infections on the blood, which can cause chronic back pain. Blood tests are also significant in showing the presence of sarcoma. The presence of lactate dehydrogenase and alkaline phosphatase reveals osteosarcoma, which could cause chronic back pain</w:t>
      </w:r>
      <w:r w:rsidR="005E2BED" w:rsidRPr="00FF3ED2">
        <w:rPr>
          <w:rFonts w:ascii="Times New Roman" w:hAnsi="Times New Roman" w:cs="Times New Roman"/>
          <w:color w:val="000000" w:themeColor="text1"/>
          <w:sz w:val="24"/>
          <w:szCs w:val="24"/>
        </w:rPr>
        <w:t xml:space="preserve"> (Husky et al., 2018)</w:t>
      </w:r>
      <w:r w:rsidRPr="00FF3ED2">
        <w:rPr>
          <w:rFonts w:ascii="Times New Roman" w:hAnsi="Times New Roman" w:cs="Times New Roman"/>
          <w:color w:val="000000" w:themeColor="text1"/>
          <w:sz w:val="24"/>
          <w:szCs w:val="24"/>
        </w:rPr>
        <w:t xml:space="preserve">. </w:t>
      </w:r>
    </w:p>
    <w:p w:rsidR="008C5D6F" w:rsidRPr="00FF3ED2" w:rsidRDefault="00684FD4" w:rsidP="00763DC6">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Bone scan- this is significant in the assessment of the compression fractures </w:t>
      </w:r>
      <w:r w:rsidR="00A16630" w:rsidRPr="00FF3ED2">
        <w:rPr>
          <w:rFonts w:ascii="Times New Roman" w:hAnsi="Times New Roman" w:cs="Times New Roman"/>
          <w:color w:val="000000" w:themeColor="text1"/>
          <w:sz w:val="24"/>
          <w:szCs w:val="24"/>
        </w:rPr>
        <w:t>influences by osteoporosis. Also, the scan reve</w:t>
      </w:r>
      <w:r w:rsidR="00016C83" w:rsidRPr="00FF3ED2">
        <w:rPr>
          <w:rFonts w:ascii="Times New Roman" w:hAnsi="Times New Roman" w:cs="Times New Roman"/>
          <w:color w:val="000000" w:themeColor="text1"/>
          <w:sz w:val="24"/>
          <w:szCs w:val="24"/>
        </w:rPr>
        <w:t>a</w:t>
      </w:r>
      <w:r w:rsidR="00A16630" w:rsidRPr="00FF3ED2">
        <w:rPr>
          <w:rFonts w:ascii="Times New Roman" w:hAnsi="Times New Roman" w:cs="Times New Roman"/>
          <w:color w:val="000000" w:themeColor="text1"/>
          <w:sz w:val="24"/>
          <w:szCs w:val="24"/>
        </w:rPr>
        <w:t>ls the presence of bone tumors.</w:t>
      </w:r>
    </w:p>
    <w:p w:rsidR="00A16630" w:rsidRPr="00FF3ED2" w:rsidRDefault="00684FD4" w:rsidP="00763DC6">
      <w:pPr>
        <w:pStyle w:val="ListParagraph"/>
        <w:numPr>
          <w:ilvl w:val="0"/>
          <w:numId w:val="2"/>
        </w:num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lastRenderedPageBreak/>
        <w:t xml:space="preserve">Nerve assessment- one of the </w:t>
      </w:r>
      <w:r w:rsidR="006C383D" w:rsidRPr="00FF3ED2">
        <w:rPr>
          <w:rFonts w:ascii="Times New Roman" w:hAnsi="Times New Roman" w:cs="Times New Roman"/>
          <w:color w:val="000000" w:themeColor="text1"/>
          <w:sz w:val="24"/>
          <w:szCs w:val="24"/>
        </w:rPr>
        <w:t>procedures</w:t>
      </w:r>
      <w:r w:rsidRPr="00FF3ED2">
        <w:rPr>
          <w:rFonts w:ascii="Times New Roman" w:hAnsi="Times New Roman" w:cs="Times New Roman"/>
          <w:color w:val="000000" w:themeColor="text1"/>
          <w:sz w:val="24"/>
          <w:szCs w:val="24"/>
        </w:rPr>
        <w:t xml:space="preserve"> is using electromyography to evaluate the impulses generated by nerves and how the muscles respond. </w:t>
      </w:r>
      <w:r w:rsidR="006C383D" w:rsidRPr="00FF3ED2">
        <w:rPr>
          <w:rFonts w:ascii="Times New Roman" w:hAnsi="Times New Roman" w:cs="Times New Roman"/>
          <w:color w:val="000000" w:themeColor="text1"/>
          <w:sz w:val="24"/>
          <w:szCs w:val="24"/>
        </w:rPr>
        <w:t>The test reveals the compressions influenced by the spinal stenosis and herniated disks.</w:t>
      </w:r>
    </w:p>
    <w:p w:rsidR="006C383D" w:rsidRPr="00FF3ED2" w:rsidRDefault="00684FD4" w:rsidP="00763DC6">
      <w:pPr>
        <w:spacing w:after="0" w:line="480" w:lineRule="auto"/>
        <w:ind w:firstLine="851"/>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Medical Management</w:t>
      </w:r>
    </w:p>
    <w:p w:rsidR="006C383D" w:rsidRPr="00FF3ED2" w:rsidRDefault="00684FD4" w:rsidP="00763DC6">
      <w:p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The patient will be provided with a treatment program to manage chronic back pain and other symptoms, such as increased blood pressure. The patient will be provided with Lasix per oral 20mg daily. Lasix is a diuretic medication that is prescribed for patients with fluid retention. This drug is prescribed to the patient to ensure that control of blood pressure is enhanced through the kidneys' fluid control. Oral lisinopril 40mg per day will be provided to ensure that blood pressure is well managed. Lisinopril belongs to the class called angiotensin-converting enzyme inhibitors, which enhances vasodilation to reduce blood pressure. </w:t>
      </w:r>
      <w:r w:rsidR="000E31D9" w:rsidRPr="00FF3ED2">
        <w:rPr>
          <w:rFonts w:ascii="Times New Roman" w:hAnsi="Times New Roman" w:cs="Times New Roman"/>
          <w:color w:val="000000" w:themeColor="text1"/>
          <w:sz w:val="24"/>
          <w:szCs w:val="24"/>
        </w:rPr>
        <w:t xml:space="preserve">Oral Topamax 5omg BID will be administered to the patent. </w:t>
      </w:r>
      <w:r w:rsidR="00A84D65" w:rsidRPr="00FF3ED2">
        <w:rPr>
          <w:rFonts w:ascii="Times New Roman" w:hAnsi="Times New Roman" w:cs="Times New Roman"/>
          <w:color w:val="000000" w:themeColor="text1"/>
          <w:sz w:val="24"/>
          <w:szCs w:val="24"/>
        </w:rPr>
        <w:t>Topamax is an anticonvulsant mediation for the treatment of seizures. This medication is prescribed to the patient for its benefit in the weight loss effect. Research shows that Topamax is efficient in enhancing weight loss of about 11 pounds when administered for at least four months</w:t>
      </w:r>
      <w:r w:rsidR="005E2BED" w:rsidRPr="00FF3ED2">
        <w:rPr>
          <w:rFonts w:ascii="Times New Roman" w:hAnsi="Times New Roman" w:cs="Times New Roman"/>
          <w:color w:val="000000" w:themeColor="text1"/>
          <w:sz w:val="24"/>
          <w:szCs w:val="24"/>
        </w:rPr>
        <w:t xml:space="preserve"> (Moradi, Kerman &amp;Mollabashi, 2013)</w:t>
      </w:r>
      <w:r w:rsidR="00A84D65" w:rsidRPr="00FF3ED2">
        <w:rPr>
          <w:rFonts w:ascii="Times New Roman" w:hAnsi="Times New Roman" w:cs="Times New Roman"/>
          <w:color w:val="000000" w:themeColor="text1"/>
          <w:sz w:val="24"/>
          <w:szCs w:val="24"/>
        </w:rPr>
        <w:t>. Since overweight may be the underlying factor for the back pain, its management can positively impact the patient.</w:t>
      </w:r>
    </w:p>
    <w:p w:rsidR="00296B22" w:rsidRPr="00FF3ED2" w:rsidRDefault="00684FD4" w:rsidP="00763DC6">
      <w:p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 xml:space="preserve">The use of pain relievers is very significant in the management of back pain for the patient. Non-steroidal anti-inflammatory medications such as ibuprofen are among the best NSAID that can be prescribed for the patient to reduce pain. The drug works through inhibiting cyclooxygenase, which converts arachidonic acid to prostacyclin, prostaglandin and thromboxane, which influences pain and inflammation. The benefit of NSAIDs is that they ensure that inflammation related to conditions such as arthritis are managed. Also, muscle relaxants are significant for the treatment of the patient. </w:t>
      </w:r>
      <w:r w:rsidR="005D08B4" w:rsidRPr="00FF3ED2">
        <w:rPr>
          <w:rFonts w:ascii="Times New Roman" w:hAnsi="Times New Roman" w:cs="Times New Roman"/>
          <w:color w:val="000000" w:themeColor="text1"/>
          <w:sz w:val="24"/>
          <w:szCs w:val="24"/>
        </w:rPr>
        <w:t xml:space="preserve">The use of medications such as cyclobenzaprine enhances muscle spasms that are responsible for back pain. </w:t>
      </w:r>
      <w:r w:rsidR="005D08B4" w:rsidRPr="00FF3ED2">
        <w:rPr>
          <w:rFonts w:ascii="Times New Roman" w:hAnsi="Times New Roman" w:cs="Times New Roman"/>
          <w:color w:val="000000" w:themeColor="text1"/>
          <w:sz w:val="24"/>
          <w:szCs w:val="24"/>
        </w:rPr>
        <w:lastRenderedPageBreak/>
        <w:t xml:space="preserve">Antidepressants such as amitriptyline have a therapeutic effect on chronic back pain. Urguhart et al. (2016) show in their study that a low dosage of amitriptyline is useful in treating chronic back pain. The use of amitriptyline is associated with a diminished need for </w:t>
      </w:r>
      <w:r w:rsidRPr="00FF3ED2">
        <w:rPr>
          <w:rFonts w:ascii="Times New Roman" w:hAnsi="Times New Roman" w:cs="Times New Roman"/>
          <w:color w:val="000000" w:themeColor="text1"/>
          <w:sz w:val="24"/>
          <w:szCs w:val="24"/>
        </w:rPr>
        <w:t>surgeries and treatment that increases medicines' cost. Another treatment option is cortisone injections, which is an anti-inflammatory medication that enhances the relief of back pain through diminishing inflammation around the nerves.</w:t>
      </w:r>
    </w:p>
    <w:p w:rsidR="00A84D65" w:rsidRPr="00FF3ED2" w:rsidRDefault="00684FD4" w:rsidP="00763DC6">
      <w:pPr>
        <w:spacing w:after="0" w:line="480" w:lineRule="auto"/>
        <w:ind w:firstLine="851"/>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Prognosis</w:t>
      </w:r>
    </w:p>
    <w:p w:rsidR="00296B22" w:rsidRPr="00FF3ED2" w:rsidRDefault="00684FD4" w:rsidP="00763DC6">
      <w:p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The recovery of patients from chronic back pain is slow</w:t>
      </w:r>
      <w:r w:rsidR="0036028A" w:rsidRPr="00FF3ED2">
        <w:rPr>
          <w:rFonts w:ascii="Times New Roman" w:hAnsi="Times New Roman" w:cs="Times New Roman"/>
          <w:color w:val="000000" w:themeColor="text1"/>
          <w:sz w:val="24"/>
          <w:szCs w:val="24"/>
        </w:rPr>
        <w:t xml:space="preserve"> (Haymans et al., 2010)</w:t>
      </w:r>
      <w:r w:rsidRPr="00FF3ED2">
        <w:rPr>
          <w:rFonts w:ascii="Times New Roman" w:hAnsi="Times New Roman" w:cs="Times New Roman"/>
          <w:color w:val="000000" w:themeColor="text1"/>
          <w:sz w:val="24"/>
          <w:szCs w:val="24"/>
        </w:rPr>
        <w:t xml:space="preserve">. </w:t>
      </w:r>
      <w:r w:rsidR="00281894" w:rsidRPr="00FF3ED2">
        <w:rPr>
          <w:rFonts w:ascii="Times New Roman" w:hAnsi="Times New Roman" w:cs="Times New Roman"/>
          <w:color w:val="000000" w:themeColor="text1"/>
          <w:sz w:val="24"/>
          <w:szCs w:val="24"/>
        </w:rPr>
        <w:t>The recovery of patients with chronic back pain depends on the preventive measures implemented by the patient. More so, treatment adherence is another factor that determines the recovery rate of the patient. Underlying conditions such as arthritis and obesity, which are the risk factors, determine the patient's recovery from the disease.</w:t>
      </w:r>
    </w:p>
    <w:p w:rsidR="00281894" w:rsidRPr="00FF3ED2" w:rsidRDefault="00684FD4" w:rsidP="00763DC6">
      <w:pPr>
        <w:spacing w:after="0" w:line="480" w:lineRule="auto"/>
        <w:ind w:firstLine="851"/>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Follow-up</w:t>
      </w:r>
    </w:p>
    <w:p w:rsidR="00281894" w:rsidRPr="00FF3ED2" w:rsidRDefault="00684FD4" w:rsidP="00763DC6">
      <w:p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Patients with chronic back pain need to be put under long-term follow-up programs. In the follow-up program, multidisciplinary rehabilitation services should be enhanced. The patient should be followed up by using specialists who will provide assessment and therapeutic services (Moi et al., 2018). The patient should be referred to an orthopedic specialist who will provide risk assessment and therapeutic services in case of complications.</w:t>
      </w:r>
    </w:p>
    <w:p w:rsidR="0036028A" w:rsidRPr="00FF3ED2" w:rsidRDefault="00684FD4" w:rsidP="00763DC6">
      <w:pPr>
        <w:spacing w:after="0" w:line="480" w:lineRule="auto"/>
        <w:ind w:firstLine="851"/>
        <w:jc w:val="center"/>
        <w:rPr>
          <w:rFonts w:ascii="Times New Roman" w:hAnsi="Times New Roman" w:cs="Times New Roman"/>
          <w:b/>
          <w:bCs/>
          <w:color w:val="000000" w:themeColor="text1"/>
          <w:sz w:val="24"/>
          <w:szCs w:val="24"/>
        </w:rPr>
      </w:pPr>
      <w:r w:rsidRPr="00FF3ED2">
        <w:rPr>
          <w:rFonts w:ascii="Times New Roman" w:hAnsi="Times New Roman" w:cs="Times New Roman"/>
          <w:b/>
          <w:bCs/>
          <w:color w:val="000000" w:themeColor="text1"/>
          <w:sz w:val="24"/>
          <w:szCs w:val="24"/>
        </w:rPr>
        <w:t>Education</w:t>
      </w:r>
    </w:p>
    <w:p w:rsidR="0036028A" w:rsidRDefault="00684FD4" w:rsidP="00763DC6">
      <w:pPr>
        <w:spacing w:after="0" w:line="480" w:lineRule="auto"/>
        <w:ind w:firstLine="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rPr>
        <w:t>The patient should be educated on the significance of staying active to enhance the management of obesity, which is a risk factor for chronic back pain. Exercises should be encouraged in patients with chronic back pain (Zhang, Wan &amp; Wang, 2014). The patient should be advised to avoid strains, especially in lifting loads. The patient should be encouraged to consume a proper diet, which includes low fat and salt. Emphasizing adherence to medications will be useful in enhancing the recovery of the patient.</w:t>
      </w: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ind w:firstLine="851"/>
        <w:rPr>
          <w:rFonts w:ascii="Times New Roman" w:hAnsi="Times New Roman" w:cs="Times New Roman"/>
          <w:b/>
          <w:bCs/>
          <w:color w:val="000000" w:themeColor="text1"/>
          <w:sz w:val="24"/>
          <w:szCs w:val="24"/>
        </w:rPr>
      </w:pPr>
    </w:p>
    <w:p w:rsidR="00763DC6" w:rsidRDefault="00763DC6" w:rsidP="00763DC6">
      <w:pPr>
        <w:spacing w:after="0" w:line="480" w:lineRule="auto"/>
        <w:rPr>
          <w:rFonts w:ascii="Times New Roman" w:hAnsi="Times New Roman" w:cs="Times New Roman"/>
          <w:b/>
          <w:bCs/>
          <w:color w:val="000000" w:themeColor="text1"/>
          <w:sz w:val="24"/>
          <w:szCs w:val="24"/>
        </w:rPr>
      </w:pPr>
    </w:p>
    <w:p w:rsidR="007C19A2" w:rsidRPr="005B007D" w:rsidRDefault="00684FD4" w:rsidP="005B007D">
      <w:pPr>
        <w:spacing w:after="0" w:line="480" w:lineRule="auto"/>
        <w:jc w:val="center"/>
        <w:rPr>
          <w:rFonts w:ascii="Times New Roman" w:hAnsi="Times New Roman" w:cs="Times New Roman"/>
          <w:b/>
          <w:bCs/>
          <w:color w:val="000000" w:themeColor="text1"/>
          <w:sz w:val="24"/>
          <w:szCs w:val="24"/>
        </w:rPr>
      </w:pPr>
      <w:r w:rsidRPr="005B007D">
        <w:rPr>
          <w:rFonts w:ascii="Times New Roman" w:hAnsi="Times New Roman" w:cs="Times New Roman"/>
          <w:b/>
          <w:bCs/>
          <w:color w:val="000000" w:themeColor="text1"/>
          <w:sz w:val="24"/>
          <w:szCs w:val="24"/>
        </w:rPr>
        <w:t>References</w:t>
      </w:r>
    </w:p>
    <w:p w:rsidR="005B007D" w:rsidRPr="00FF3ED2" w:rsidRDefault="00684FD4" w:rsidP="005B007D">
      <w:pPr>
        <w:spacing w:after="0" w:line="480" w:lineRule="auto"/>
        <w:ind w:left="851" w:hanging="851"/>
        <w:rPr>
          <w:rFonts w:ascii="Times New Roman" w:hAnsi="Times New Roman" w:cs="Times New Roman"/>
          <w:color w:val="000000" w:themeColor="text1"/>
          <w:sz w:val="24"/>
          <w:szCs w:val="24"/>
          <w:shd w:val="clear" w:color="auto" w:fill="FFFFFF"/>
        </w:rPr>
      </w:pPr>
      <w:r w:rsidRPr="00FF3ED2">
        <w:rPr>
          <w:rFonts w:ascii="Times New Roman" w:hAnsi="Times New Roman" w:cs="Times New Roman"/>
          <w:color w:val="000000" w:themeColor="text1"/>
          <w:sz w:val="24"/>
          <w:szCs w:val="24"/>
          <w:shd w:val="clear" w:color="auto" w:fill="FFFFFF"/>
        </w:rPr>
        <w:t xml:space="preserve">Allegri, M., Montella, S., Salici, F., Valente, A., Marchesini, M., Compagnone, C., Baciarello, M., Manferdini, M. E., &amp; Fanelli, G. (2016). Mechanisms of low back </w:t>
      </w:r>
      <w:r w:rsidRPr="00FF3ED2">
        <w:rPr>
          <w:rFonts w:ascii="Times New Roman" w:hAnsi="Times New Roman" w:cs="Times New Roman"/>
          <w:color w:val="000000" w:themeColor="text1"/>
          <w:sz w:val="24"/>
          <w:szCs w:val="24"/>
          <w:shd w:val="clear" w:color="auto" w:fill="FFFFFF"/>
        </w:rPr>
        <w:lastRenderedPageBreak/>
        <w:t>pain: a guide for diagnosis and therapy. </w:t>
      </w:r>
      <w:r w:rsidRPr="00FF3ED2">
        <w:rPr>
          <w:rFonts w:ascii="Times New Roman" w:hAnsi="Times New Roman" w:cs="Times New Roman"/>
          <w:i/>
          <w:iCs/>
          <w:color w:val="000000" w:themeColor="text1"/>
          <w:sz w:val="24"/>
          <w:szCs w:val="24"/>
          <w:shd w:val="clear" w:color="auto" w:fill="FFFFFF"/>
        </w:rPr>
        <w:t>F1000Research</w:t>
      </w:r>
      <w:r w:rsidRPr="00FF3ED2">
        <w:rPr>
          <w:rFonts w:ascii="Times New Roman" w:hAnsi="Times New Roman" w:cs="Times New Roman"/>
          <w:color w:val="000000" w:themeColor="text1"/>
          <w:sz w:val="24"/>
          <w:szCs w:val="24"/>
          <w:shd w:val="clear" w:color="auto" w:fill="FFFFFF"/>
        </w:rPr>
        <w:t>, </w:t>
      </w:r>
      <w:r w:rsidRPr="00FF3ED2">
        <w:rPr>
          <w:rFonts w:ascii="Times New Roman" w:hAnsi="Times New Roman" w:cs="Times New Roman"/>
          <w:i/>
          <w:iCs/>
          <w:color w:val="000000" w:themeColor="text1"/>
          <w:sz w:val="24"/>
          <w:szCs w:val="24"/>
          <w:shd w:val="clear" w:color="auto" w:fill="FFFFFF"/>
        </w:rPr>
        <w:t>5</w:t>
      </w:r>
      <w:r w:rsidRPr="00FF3ED2">
        <w:rPr>
          <w:rFonts w:ascii="Times New Roman" w:hAnsi="Times New Roman" w:cs="Times New Roman"/>
          <w:color w:val="000000" w:themeColor="text1"/>
          <w:sz w:val="24"/>
          <w:szCs w:val="24"/>
          <w:shd w:val="clear" w:color="auto" w:fill="FFFFFF"/>
        </w:rPr>
        <w:t xml:space="preserve">, F1000 Faculty Rev-1530. </w:t>
      </w:r>
      <w:hyperlink r:id="rId7" w:history="1">
        <w:r w:rsidRPr="00FF3ED2">
          <w:rPr>
            <w:rStyle w:val="Hyperlink"/>
            <w:rFonts w:ascii="Times New Roman" w:hAnsi="Times New Roman" w:cs="Times New Roman"/>
            <w:color w:val="000000" w:themeColor="text1"/>
            <w:sz w:val="24"/>
            <w:szCs w:val="24"/>
            <w:u w:val="none"/>
            <w:shd w:val="clear" w:color="auto" w:fill="FFFFFF"/>
          </w:rPr>
          <w:t>https://doi.org/10.12688/f1000research.8105.2</w:t>
        </w:r>
      </w:hyperlink>
    </w:p>
    <w:p w:rsidR="005B007D" w:rsidRPr="00FF3ED2" w:rsidRDefault="00684FD4" w:rsidP="005B007D">
      <w:pPr>
        <w:spacing w:after="0" w:line="480" w:lineRule="auto"/>
        <w:ind w:left="851" w:hanging="851"/>
        <w:rPr>
          <w:rFonts w:ascii="Times New Roman" w:hAnsi="Times New Roman" w:cs="Times New Roman"/>
          <w:color w:val="000000" w:themeColor="text1"/>
          <w:sz w:val="24"/>
          <w:szCs w:val="24"/>
          <w:shd w:val="clear" w:color="auto" w:fill="FFFFFF"/>
        </w:rPr>
      </w:pPr>
      <w:r w:rsidRPr="00FF3ED2">
        <w:rPr>
          <w:rFonts w:ascii="Times New Roman" w:hAnsi="Times New Roman" w:cs="Times New Roman"/>
          <w:color w:val="000000" w:themeColor="text1"/>
          <w:sz w:val="24"/>
          <w:szCs w:val="24"/>
          <w:shd w:val="clear" w:color="auto" w:fill="FFFFFF"/>
        </w:rPr>
        <w:t>Fruh S. M. (2017). Obesity: Risk factors, complications, and strategies for sustainable long-term weight management. </w:t>
      </w:r>
      <w:r w:rsidRPr="00FF3ED2">
        <w:rPr>
          <w:rFonts w:ascii="Times New Roman" w:hAnsi="Times New Roman" w:cs="Times New Roman"/>
          <w:i/>
          <w:iCs/>
          <w:color w:val="000000" w:themeColor="text1"/>
          <w:sz w:val="24"/>
          <w:szCs w:val="24"/>
          <w:shd w:val="clear" w:color="auto" w:fill="FFFFFF"/>
        </w:rPr>
        <w:t>Journal of the American Association of Nurse Practitioners</w:t>
      </w:r>
      <w:r w:rsidRPr="00FF3ED2">
        <w:rPr>
          <w:rFonts w:ascii="Times New Roman" w:hAnsi="Times New Roman" w:cs="Times New Roman"/>
          <w:color w:val="000000" w:themeColor="text1"/>
          <w:sz w:val="24"/>
          <w:szCs w:val="24"/>
          <w:shd w:val="clear" w:color="auto" w:fill="FFFFFF"/>
        </w:rPr>
        <w:t>, </w:t>
      </w:r>
      <w:r w:rsidRPr="00FF3ED2">
        <w:rPr>
          <w:rFonts w:ascii="Times New Roman" w:hAnsi="Times New Roman" w:cs="Times New Roman"/>
          <w:i/>
          <w:iCs/>
          <w:color w:val="000000" w:themeColor="text1"/>
          <w:sz w:val="24"/>
          <w:szCs w:val="24"/>
          <w:shd w:val="clear" w:color="auto" w:fill="FFFFFF"/>
        </w:rPr>
        <w:t>29</w:t>
      </w:r>
      <w:r w:rsidRPr="00FF3ED2">
        <w:rPr>
          <w:rFonts w:ascii="Times New Roman" w:hAnsi="Times New Roman" w:cs="Times New Roman"/>
          <w:color w:val="000000" w:themeColor="text1"/>
          <w:sz w:val="24"/>
          <w:szCs w:val="24"/>
          <w:shd w:val="clear" w:color="auto" w:fill="FFFFFF"/>
        </w:rPr>
        <w:t xml:space="preserve">(S1), S3–S14. </w:t>
      </w:r>
      <w:hyperlink r:id="rId8" w:history="1">
        <w:r w:rsidRPr="00FF3ED2">
          <w:rPr>
            <w:rStyle w:val="Hyperlink"/>
            <w:rFonts w:ascii="Times New Roman" w:hAnsi="Times New Roman" w:cs="Times New Roman"/>
            <w:color w:val="000000" w:themeColor="text1"/>
            <w:sz w:val="24"/>
            <w:szCs w:val="24"/>
            <w:u w:val="none"/>
            <w:shd w:val="clear" w:color="auto" w:fill="FFFFFF"/>
          </w:rPr>
          <w:t>https://doi.org/10.1002/2327-6924.12510</w:t>
        </w:r>
      </w:hyperlink>
    </w:p>
    <w:p w:rsidR="005B007D" w:rsidRPr="00FF3ED2" w:rsidRDefault="00684FD4" w:rsidP="005B007D">
      <w:pPr>
        <w:spacing w:after="0" w:line="480" w:lineRule="auto"/>
        <w:ind w:left="851" w:hanging="851"/>
        <w:rPr>
          <w:rFonts w:ascii="Times New Roman" w:hAnsi="Times New Roman" w:cs="Times New Roman"/>
          <w:color w:val="000000" w:themeColor="text1"/>
          <w:sz w:val="24"/>
          <w:szCs w:val="24"/>
        </w:rPr>
      </w:pPr>
      <w:r w:rsidRPr="00FF3ED2">
        <w:rPr>
          <w:rFonts w:ascii="Times New Roman" w:hAnsi="Times New Roman" w:cs="Times New Roman"/>
          <w:color w:val="000000" w:themeColor="text1"/>
          <w:sz w:val="24"/>
          <w:szCs w:val="24"/>
          <w:shd w:val="clear" w:color="auto" w:fill="FFFFFF"/>
        </w:rPr>
        <w:t>Heymans, M., van Buuren, S., Knol, D., Anema, J., van Mechelen, W., &amp; de Vet, H. (2010). The prognosis of chronic low back pain is determined by changes in pain and disability in the initial period. </w:t>
      </w:r>
      <w:r w:rsidRPr="00FF3ED2">
        <w:rPr>
          <w:rFonts w:ascii="Times New Roman" w:hAnsi="Times New Roman" w:cs="Times New Roman"/>
          <w:i/>
          <w:iCs/>
          <w:color w:val="000000" w:themeColor="text1"/>
          <w:sz w:val="24"/>
          <w:szCs w:val="24"/>
          <w:shd w:val="clear" w:color="auto" w:fill="FFFFFF"/>
        </w:rPr>
        <w:t>The Spine Journal</w:t>
      </w:r>
      <w:r w:rsidRPr="00FF3ED2">
        <w:rPr>
          <w:rFonts w:ascii="Times New Roman" w:hAnsi="Times New Roman" w:cs="Times New Roman"/>
          <w:color w:val="000000" w:themeColor="text1"/>
          <w:sz w:val="24"/>
          <w:szCs w:val="24"/>
          <w:shd w:val="clear" w:color="auto" w:fill="FFFFFF"/>
        </w:rPr>
        <w:t>, </w:t>
      </w:r>
      <w:r w:rsidRPr="00FF3ED2">
        <w:rPr>
          <w:rFonts w:ascii="Times New Roman" w:hAnsi="Times New Roman" w:cs="Times New Roman"/>
          <w:i/>
          <w:iCs/>
          <w:color w:val="000000" w:themeColor="text1"/>
          <w:sz w:val="24"/>
          <w:szCs w:val="24"/>
          <w:shd w:val="clear" w:color="auto" w:fill="FFFFFF"/>
        </w:rPr>
        <w:t>10</w:t>
      </w:r>
      <w:r w:rsidRPr="00FF3ED2">
        <w:rPr>
          <w:rFonts w:ascii="Times New Roman" w:hAnsi="Times New Roman" w:cs="Times New Roman"/>
          <w:color w:val="000000" w:themeColor="text1"/>
          <w:sz w:val="24"/>
          <w:szCs w:val="24"/>
          <w:shd w:val="clear" w:color="auto" w:fill="FFFFFF"/>
        </w:rPr>
        <w:t>(10), 847-856. https://doi.org/10.1016/j.spinee.2010.06.005</w:t>
      </w:r>
    </w:p>
    <w:p w:rsidR="005B007D" w:rsidRPr="00FF3ED2" w:rsidRDefault="00684FD4" w:rsidP="005B007D">
      <w:pPr>
        <w:spacing w:after="0" w:line="480" w:lineRule="auto"/>
        <w:ind w:left="851" w:hanging="851"/>
        <w:rPr>
          <w:rFonts w:ascii="Times New Roman" w:hAnsi="Times New Roman" w:cs="Times New Roman"/>
          <w:color w:val="000000" w:themeColor="text1"/>
          <w:sz w:val="24"/>
          <w:szCs w:val="24"/>
          <w:shd w:val="clear" w:color="auto" w:fill="FFFFFF"/>
        </w:rPr>
      </w:pPr>
      <w:r w:rsidRPr="00FF3ED2">
        <w:rPr>
          <w:rFonts w:ascii="Times New Roman" w:hAnsi="Times New Roman" w:cs="Times New Roman"/>
          <w:color w:val="000000" w:themeColor="text1"/>
          <w:sz w:val="24"/>
          <w:szCs w:val="24"/>
          <w:shd w:val="clear" w:color="auto" w:fill="FFFFFF"/>
        </w:rPr>
        <w:t xml:space="preserve">Husky, M. M., Ferdous Farin, F., Compagnone, P., Fermanian, C., &amp;Kovess-Masfety, V. (2018). Chronic back pain and its association with quality of life in an extensive French population survey. </w:t>
      </w:r>
      <w:r w:rsidRPr="00FF3ED2">
        <w:rPr>
          <w:rFonts w:ascii="Times New Roman" w:hAnsi="Times New Roman" w:cs="Times New Roman"/>
          <w:i/>
          <w:iCs/>
          <w:color w:val="000000" w:themeColor="text1"/>
          <w:sz w:val="24"/>
          <w:szCs w:val="24"/>
          <w:shd w:val="clear" w:color="auto" w:fill="FFFFFF"/>
        </w:rPr>
        <w:t>Health and quality of life outcomes</w:t>
      </w:r>
      <w:r w:rsidRPr="00FF3ED2">
        <w:rPr>
          <w:rFonts w:ascii="Times New Roman" w:hAnsi="Times New Roman" w:cs="Times New Roman"/>
          <w:color w:val="000000" w:themeColor="text1"/>
          <w:sz w:val="24"/>
          <w:szCs w:val="24"/>
          <w:shd w:val="clear" w:color="auto" w:fill="FFFFFF"/>
        </w:rPr>
        <w:t>, </w:t>
      </w:r>
      <w:r w:rsidRPr="00FF3ED2">
        <w:rPr>
          <w:rFonts w:ascii="Times New Roman" w:hAnsi="Times New Roman" w:cs="Times New Roman"/>
          <w:i/>
          <w:iCs/>
          <w:color w:val="000000" w:themeColor="text1"/>
          <w:sz w:val="24"/>
          <w:szCs w:val="24"/>
          <w:shd w:val="clear" w:color="auto" w:fill="FFFFFF"/>
        </w:rPr>
        <w:t>16</w:t>
      </w:r>
      <w:r w:rsidRPr="00FF3ED2">
        <w:rPr>
          <w:rFonts w:ascii="Times New Roman" w:hAnsi="Times New Roman" w:cs="Times New Roman"/>
          <w:color w:val="000000" w:themeColor="text1"/>
          <w:sz w:val="24"/>
          <w:szCs w:val="24"/>
          <w:shd w:val="clear" w:color="auto" w:fill="FFFFFF"/>
        </w:rPr>
        <w:t xml:space="preserve">(1), 195. </w:t>
      </w:r>
      <w:hyperlink r:id="rId9" w:history="1">
        <w:r w:rsidRPr="00FF3ED2">
          <w:rPr>
            <w:rStyle w:val="Hyperlink"/>
            <w:rFonts w:ascii="Times New Roman" w:hAnsi="Times New Roman" w:cs="Times New Roman"/>
            <w:color w:val="000000" w:themeColor="text1"/>
            <w:sz w:val="24"/>
            <w:szCs w:val="24"/>
            <w:u w:val="none"/>
            <w:shd w:val="clear" w:color="auto" w:fill="FFFFFF"/>
          </w:rPr>
          <w:t>https://doi.org/10.1186/s12955-018-1018-4</w:t>
        </w:r>
      </w:hyperlink>
    </w:p>
    <w:p w:rsidR="005B007D" w:rsidRPr="00FF3ED2" w:rsidRDefault="00684FD4" w:rsidP="005B007D">
      <w:pPr>
        <w:spacing w:after="0" w:line="480" w:lineRule="auto"/>
        <w:ind w:left="851" w:hanging="851"/>
        <w:rPr>
          <w:rFonts w:ascii="Times New Roman" w:hAnsi="Times New Roman" w:cs="Times New Roman"/>
          <w:color w:val="000000" w:themeColor="text1"/>
          <w:sz w:val="24"/>
          <w:szCs w:val="24"/>
          <w:shd w:val="clear" w:color="auto" w:fill="FFFFFF"/>
        </w:rPr>
      </w:pPr>
      <w:r w:rsidRPr="00FF3ED2">
        <w:rPr>
          <w:rFonts w:ascii="Times New Roman" w:hAnsi="Times New Roman" w:cs="Times New Roman"/>
          <w:color w:val="000000" w:themeColor="text1"/>
          <w:sz w:val="24"/>
          <w:szCs w:val="24"/>
          <w:shd w:val="clear" w:color="auto" w:fill="FFFFFF"/>
        </w:rPr>
        <w:t>Kitt, J., Fox, R., Tucker, K. L., &amp; McManus, R. J. (2019). New Approaches in Hypertension Management: a Review of Current and Developing Technologies and Their Potential Impact on Hypertension Care. </w:t>
      </w:r>
      <w:r w:rsidRPr="00FF3ED2">
        <w:rPr>
          <w:rFonts w:ascii="Times New Roman" w:hAnsi="Times New Roman" w:cs="Times New Roman"/>
          <w:i/>
          <w:iCs/>
          <w:color w:val="000000" w:themeColor="text1"/>
          <w:sz w:val="24"/>
          <w:szCs w:val="24"/>
          <w:shd w:val="clear" w:color="auto" w:fill="FFFFFF"/>
        </w:rPr>
        <w:t>Current hypertension reports</w:t>
      </w:r>
      <w:r w:rsidRPr="00FF3ED2">
        <w:rPr>
          <w:rFonts w:ascii="Times New Roman" w:hAnsi="Times New Roman" w:cs="Times New Roman"/>
          <w:color w:val="000000" w:themeColor="text1"/>
          <w:sz w:val="24"/>
          <w:szCs w:val="24"/>
          <w:shd w:val="clear" w:color="auto" w:fill="FFFFFF"/>
        </w:rPr>
        <w:t>, </w:t>
      </w:r>
      <w:r w:rsidRPr="00FF3ED2">
        <w:rPr>
          <w:rFonts w:ascii="Times New Roman" w:hAnsi="Times New Roman" w:cs="Times New Roman"/>
          <w:i/>
          <w:iCs/>
          <w:color w:val="000000" w:themeColor="text1"/>
          <w:sz w:val="24"/>
          <w:szCs w:val="24"/>
          <w:shd w:val="clear" w:color="auto" w:fill="FFFFFF"/>
        </w:rPr>
        <w:t>21</w:t>
      </w:r>
      <w:r w:rsidRPr="00FF3ED2">
        <w:rPr>
          <w:rFonts w:ascii="Times New Roman" w:hAnsi="Times New Roman" w:cs="Times New Roman"/>
          <w:color w:val="000000" w:themeColor="text1"/>
          <w:sz w:val="24"/>
          <w:szCs w:val="24"/>
          <w:shd w:val="clear" w:color="auto" w:fill="FFFFFF"/>
        </w:rPr>
        <w:t xml:space="preserve">(6), 44. </w:t>
      </w:r>
      <w:hyperlink r:id="rId10" w:history="1">
        <w:r w:rsidRPr="00FF3ED2">
          <w:rPr>
            <w:rStyle w:val="Hyperlink"/>
            <w:rFonts w:ascii="Times New Roman" w:hAnsi="Times New Roman" w:cs="Times New Roman"/>
            <w:color w:val="000000" w:themeColor="text1"/>
            <w:sz w:val="24"/>
            <w:szCs w:val="24"/>
            <w:u w:val="none"/>
            <w:shd w:val="clear" w:color="auto" w:fill="FFFFFF"/>
          </w:rPr>
          <w:t>https://doi.org/10.1007/s11906-019-0949-4</w:t>
        </w:r>
      </w:hyperlink>
    </w:p>
    <w:p w:rsidR="005B007D" w:rsidRPr="00FF3ED2" w:rsidRDefault="00684FD4" w:rsidP="005B007D">
      <w:pPr>
        <w:spacing w:after="0" w:line="480" w:lineRule="auto"/>
        <w:ind w:left="851" w:hanging="851"/>
        <w:rPr>
          <w:rFonts w:ascii="Times New Roman" w:hAnsi="Times New Roman" w:cs="Times New Roman"/>
          <w:color w:val="000000" w:themeColor="text1"/>
          <w:sz w:val="24"/>
          <w:szCs w:val="24"/>
          <w:shd w:val="clear" w:color="auto" w:fill="FFFFFF"/>
        </w:rPr>
      </w:pPr>
      <w:r w:rsidRPr="00FF3ED2">
        <w:rPr>
          <w:rFonts w:ascii="Times New Roman" w:hAnsi="Times New Roman" w:cs="Times New Roman"/>
          <w:color w:val="000000" w:themeColor="text1"/>
          <w:sz w:val="24"/>
          <w:szCs w:val="24"/>
          <w:shd w:val="clear" w:color="auto" w:fill="FFFFFF"/>
        </w:rPr>
        <w:t>Moi, J., Phan, U., de Gruchy, A., Liew, D., Yuen, T. I., Cunningham, J. E., &amp; Wicks, I. P. (2018). Is establishing a specialist back pain assessment and management service in primary care a safe and effective model? Twelve-month results from the Back-pain Assessment Clinic (BAC) prospective cohort pilot study. </w:t>
      </w:r>
      <w:r w:rsidRPr="00FF3ED2">
        <w:rPr>
          <w:rFonts w:ascii="Times New Roman" w:hAnsi="Times New Roman" w:cs="Times New Roman"/>
          <w:i/>
          <w:iCs/>
          <w:color w:val="000000" w:themeColor="text1"/>
          <w:sz w:val="24"/>
          <w:szCs w:val="24"/>
          <w:shd w:val="clear" w:color="auto" w:fill="FFFFFF"/>
        </w:rPr>
        <w:t>BMJ Open</w:t>
      </w:r>
      <w:r w:rsidRPr="00FF3ED2">
        <w:rPr>
          <w:rFonts w:ascii="Times New Roman" w:hAnsi="Times New Roman" w:cs="Times New Roman"/>
          <w:color w:val="000000" w:themeColor="text1"/>
          <w:sz w:val="24"/>
          <w:szCs w:val="24"/>
          <w:shd w:val="clear" w:color="auto" w:fill="FFFFFF"/>
        </w:rPr>
        <w:t>, </w:t>
      </w:r>
      <w:r w:rsidRPr="00FF3ED2">
        <w:rPr>
          <w:rFonts w:ascii="Times New Roman" w:hAnsi="Times New Roman" w:cs="Times New Roman"/>
          <w:i/>
          <w:iCs/>
          <w:color w:val="000000" w:themeColor="text1"/>
          <w:sz w:val="24"/>
          <w:szCs w:val="24"/>
          <w:shd w:val="clear" w:color="auto" w:fill="FFFFFF"/>
        </w:rPr>
        <w:t>8</w:t>
      </w:r>
      <w:r w:rsidRPr="00FF3ED2">
        <w:rPr>
          <w:rFonts w:ascii="Times New Roman" w:hAnsi="Times New Roman" w:cs="Times New Roman"/>
          <w:color w:val="000000" w:themeColor="text1"/>
          <w:sz w:val="24"/>
          <w:szCs w:val="24"/>
          <w:shd w:val="clear" w:color="auto" w:fill="FFFFFF"/>
        </w:rPr>
        <w:t xml:space="preserve">(10), e019275. </w:t>
      </w:r>
      <w:hyperlink r:id="rId11" w:history="1">
        <w:r w:rsidRPr="00FF3ED2">
          <w:rPr>
            <w:rStyle w:val="Hyperlink"/>
            <w:rFonts w:ascii="Times New Roman" w:hAnsi="Times New Roman" w:cs="Times New Roman"/>
            <w:color w:val="000000" w:themeColor="text1"/>
            <w:sz w:val="24"/>
            <w:szCs w:val="24"/>
            <w:u w:val="none"/>
            <w:shd w:val="clear" w:color="auto" w:fill="FFFFFF"/>
          </w:rPr>
          <w:t>https://doi.org/10.1136/bmjopen-2017-019275</w:t>
        </w:r>
      </w:hyperlink>
    </w:p>
    <w:p w:rsidR="005B007D" w:rsidRPr="00FF3ED2" w:rsidRDefault="00684FD4" w:rsidP="005B007D">
      <w:pPr>
        <w:spacing w:after="0" w:line="480" w:lineRule="auto"/>
        <w:ind w:left="851" w:hanging="851"/>
        <w:rPr>
          <w:rFonts w:ascii="Times New Roman" w:hAnsi="Times New Roman" w:cs="Times New Roman"/>
          <w:color w:val="000000" w:themeColor="text1"/>
          <w:sz w:val="24"/>
          <w:szCs w:val="24"/>
          <w:shd w:val="clear" w:color="auto" w:fill="FFFFFF"/>
        </w:rPr>
      </w:pPr>
      <w:r w:rsidRPr="00FF3ED2">
        <w:rPr>
          <w:rFonts w:ascii="Times New Roman" w:hAnsi="Times New Roman" w:cs="Times New Roman"/>
          <w:color w:val="000000" w:themeColor="text1"/>
          <w:sz w:val="24"/>
          <w:szCs w:val="24"/>
          <w:shd w:val="clear" w:color="auto" w:fill="FFFFFF"/>
        </w:rPr>
        <w:t>Moradi, S., Kerman, S. R., &amp;Mollabashi, M. (2013). The effect of topiramate on weight loss in patients with type 2 diabetes. </w:t>
      </w:r>
      <w:r w:rsidRPr="00FF3ED2">
        <w:rPr>
          <w:rFonts w:ascii="Times New Roman" w:hAnsi="Times New Roman" w:cs="Times New Roman"/>
          <w:i/>
          <w:iCs/>
          <w:color w:val="000000" w:themeColor="text1"/>
          <w:sz w:val="24"/>
          <w:szCs w:val="24"/>
          <w:shd w:val="clear" w:color="auto" w:fill="FFFFFF"/>
        </w:rPr>
        <w:t>Journal of research in medical sciences: the official journal of Isfahan University of Medical Sciences</w:t>
      </w:r>
      <w:r w:rsidRPr="00FF3ED2">
        <w:rPr>
          <w:rFonts w:ascii="Times New Roman" w:hAnsi="Times New Roman" w:cs="Times New Roman"/>
          <w:color w:val="000000" w:themeColor="text1"/>
          <w:sz w:val="24"/>
          <w:szCs w:val="24"/>
          <w:shd w:val="clear" w:color="auto" w:fill="FFFFFF"/>
        </w:rPr>
        <w:t>, </w:t>
      </w:r>
      <w:r w:rsidRPr="00FF3ED2">
        <w:rPr>
          <w:rFonts w:ascii="Times New Roman" w:hAnsi="Times New Roman" w:cs="Times New Roman"/>
          <w:i/>
          <w:iCs/>
          <w:color w:val="000000" w:themeColor="text1"/>
          <w:sz w:val="24"/>
          <w:szCs w:val="24"/>
          <w:shd w:val="clear" w:color="auto" w:fill="FFFFFF"/>
        </w:rPr>
        <w:t>18</w:t>
      </w:r>
      <w:r w:rsidRPr="00FF3ED2">
        <w:rPr>
          <w:rFonts w:ascii="Times New Roman" w:hAnsi="Times New Roman" w:cs="Times New Roman"/>
          <w:color w:val="000000" w:themeColor="text1"/>
          <w:sz w:val="24"/>
          <w:szCs w:val="24"/>
          <w:shd w:val="clear" w:color="auto" w:fill="FFFFFF"/>
        </w:rPr>
        <w:t>(4), 297–302.</w:t>
      </w:r>
    </w:p>
    <w:p w:rsidR="005B007D" w:rsidRPr="00FF3ED2" w:rsidRDefault="00684FD4" w:rsidP="005B007D">
      <w:pPr>
        <w:spacing w:after="0" w:line="480" w:lineRule="auto"/>
        <w:ind w:left="851" w:hanging="851"/>
        <w:rPr>
          <w:rFonts w:ascii="Times New Roman" w:hAnsi="Times New Roman" w:cs="Times New Roman"/>
          <w:color w:val="000000" w:themeColor="text1"/>
          <w:sz w:val="24"/>
          <w:szCs w:val="24"/>
          <w:shd w:val="clear" w:color="auto" w:fill="FFFFFF"/>
        </w:rPr>
      </w:pPr>
      <w:r w:rsidRPr="00FF3ED2">
        <w:rPr>
          <w:rFonts w:ascii="Times New Roman" w:hAnsi="Times New Roman" w:cs="Times New Roman"/>
          <w:color w:val="000000" w:themeColor="text1"/>
          <w:sz w:val="24"/>
          <w:szCs w:val="24"/>
          <w:shd w:val="clear" w:color="auto" w:fill="FFFFFF"/>
        </w:rPr>
        <w:lastRenderedPageBreak/>
        <w:t xml:space="preserve">Olde Bekkink, M., McCowan, C., Falk, G. A., Teljeur, C., Van de Laar, F. A., &amp; Fahey, T. (2010). Diagnostic accuracy systematic review of rectal bleeding combined with other symptoms, signs and tests about colorectal cancer. </w:t>
      </w:r>
      <w:r w:rsidRPr="00FF3ED2">
        <w:rPr>
          <w:rFonts w:ascii="Times New Roman" w:hAnsi="Times New Roman" w:cs="Times New Roman"/>
          <w:i/>
          <w:iCs/>
          <w:color w:val="000000" w:themeColor="text1"/>
          <w:sz w:val="24"/>
          <w:szCs w:val="24"/>
          <w:shd w:val="clear" w:color="auto" w:fill="FFFFFF"/>
        </w:rPr>
        <w:t>British journal of cancer</w:t>
      </w:r>
      <w:r w:rsidRPr="00FF3ED2">
        <w:rPr>
          <w:rFonts w:ascii="Times New Roman" w:hAnsi="Times New Roman" w:cs="Times New Roman"/>
          <w:color w:val="000000" w:themeColor="text1"/>
          <w:sz w:val="24"/>
          <w:szCs w:val="24"/>
          <w:shd w:val="clear" w:color="auto" w:fill="FFFFFF"/>
        </w:rPr>
        <w:t>, </w:t>
      </w:r>
      <w:r w:rsidRPr="00FF3ED2">
        <w:rPr>
          <w:rFonts w:ascii="Times New Roman" w:hAnsi="Times New Roman" w:cs="Times New Roman"/>
          <w:i/>
          <w:iCs/>
          <w:color w:val="000000" w:themeColor="text1"/>
          <w:sz w:val="24"/>
          <w:szCs w:val="24"/>
          <w:shd w:val="clear" w:color="auto" w:fill="FFFFFF"/>
        </w:rPr>
        <w:t>102</w:t>
      </w:r>
      <w:r w:rsidRPr="00FF3ED2">
        <w:rPr>
          <w:rFonts w:ascii="Times New Roman" w:hAnsi="Times New Roman" w:cs="Times New Roman"/>
          <w:color w:val="000000" w:themeColor="text1"/>
          <w:sz w:val="24"/>
          <w:szCs w:val="24"/>
          <w:shd w:val="clear" w:color="auto" w:fill="FFFFFF"/>
        </w:rPr>
        <w:t xml:space="preserve">(1), 48–58. </w:t>
      </w:r>
      <w:hyperlink r:id="rId12" w:history="1">
        <w:r w:rsidRPr="00FF3ED2">
          <w:rPr>
            <w:rStyle w:val="Hyperlink"/>
            <w:rFonts w:ascii="Times New Roman" w:hAnsi="Times New Roman" w:cs="Times New Roman"/>
            <w:color w:val="000000" w:themeColor="text1"/>
            <w:sz w:val="24"/>
            <w:szCs w:val="24"/>
            <w:u w:val="none"/>
            <w:shd w:val="clear" w:color="auto" w:fill="FFFFFF"/>
          </w:rPr>
          <w:t>https://doi.org/10.1038/sj.bjc.6605426</w:t>
        </w:r>
      </w:hyperlink>
    </w:p>
    <w:p w:rsidR="005B007D" w:rsidRPr="00FF3ED2" w:rsidRDefault="00684FD4" w:rsidP="005B007D">
      <w:pPr>
        <w:spacing w:after="0" w:line="480" w:lineRule="auto"/>
        <w:ind w:left="851" w:hanging="851"/>
        <w:rPr>
          <w:rFonts w:ascii="Times New Roman" w:hAnsi="Times New Roman" w:cs="Times New Roman"/>
          <w:color w:val="000000" w:themeColor="text1"/>
          <w:sz w:val="24"/>
          <w:szCs w:val="24"/>
          <w:shd w:val="clear" w:color="auto" w:fill="FFFFFF"/>
        </w:rPr>
      </w:pPr>
      <w:r w:rsidRPr="00FF3ED2">
        <w:rPr>
          <w:rFonts w:ascii="Times New Roman" w:hAnsi="Times New Roman" w:cs="Times New Roman"/>
          <w:color w:val="000000" w:themeColor="text1"/>
          <w:sz w:val="24"/>
          <w:szCs w:val="24"/>
          <w:shd w:val="clear" w:color="auto" w:fill="FFFFFF"/>
        </w:rPr>
        <w:t xml:space="preserve">Urquhart, D. M., Wluka, A. E., Sim, M. R., van Tulder, M., Forbes, A., Gibson, S. J., Arnold, C., Fong, C., Anthony, S. N., &amp;Cicuttini, F. M. (2016). Is low-dose amitriptyline effective in the management of chronic low back pain? Study protocol for a randomized controlled trial. </w:t>
      </w:r>
      <w:r w:rsidRPr="00FF3ED2">
        <w:rPr>
          <w:rFonts w:ascii="Times New Roman" w:hAnsi="Times New Roman" w:cs="Times New Roman"/>
          <w:i/>
          <w:iCs/>
          <w:color w:val="000000" w:themeColor="text1"/>
          <w:sz w:val="24"/>
          <w:szCs w:val="24"/>
          <w:shd w:val="clear" w:color="auto" w:fill="FFFFFF"/>
        </w:rPr>
        <w:t>Trials</w:t>
      </w:r>
      <w:r w:rsidRPr="00FF3ED2">
        <w:rPr>
          <w:rFonts w:ascii="Times New Roman" w:hAnsi="Times New Roman" w:cs="Times New Roman"/>
          <w:color w:val="000000" w:themeColor="text1"/>
          <w:sz w:val="24"/>
          <w:szCs w:val="24"/>
          <w:shd w:val="clear" w:color="auto" w:fill="FFFFFF"/>
        </w:rPr>
        <w:t>, </w:t>
      </w:r>
      <w:r w:rsidRPr="00FF3ED2">
        <w:rPr>
          <w:rFonts w:ascii="Times New Roman" w:hAnsi="Times New Roman" w:cs="Times New Roman"/>
          <w:i/>
          <w:iCs/>
          <w:color w:val="000000" w:themeColor="text1"/>
          <w:sz w:val="24"/>
          <w:szCs w:val="24"/>
          <w:shd w:val="clear" w:color="auto" w:fill="FFFFFF"/>
        </w:rPr>
        <w:t>17</w:t>
      </w:r>
      <w:r w:rsidRPr="00FF3ED2">
        <w:rPr>
          <w:rFonts w:ascii="Times New Roman" w:hAnsi="Times New Roman" w:cs="Times New Roman"/>
          <w:color w:val="000000" w:themeColor="text1"/>
          <w:sz w:val="24"/>
          <w:szCs w:val="24"/>
          <w:shd w:val="clear" w:color="auto" w:fill="FFFFFF"/>
        </w:rPr>
        <w:t xml:space="preserve">(1), 514. </w:t>
      </w:r>
      <w:hyperlink r:id="rId13" w:history="1">
        <w:r w:rsidRPr="00FF3ED2">
          <w:rPr>
            <w:rStyle w:val="Hyperlink"/>
            <w:rFonts w:ascii="Times New Roman" w:hAnsi="Times New Roman" w:cs="Times New Roman"/>
            <w:color w:val="000000" w:themeColor="text1"/>
            <w:sz w:val="24"/>
            <w:szCs w:val="24"/>
            <w:u w:val="none"/>
            <w:shd w:val="clear" w:color="auto" w:fill="FFFFFF"/>
          </w:rPr>
          <w:t>https://doi.org/10.1186/s13063-016-1637-1</w:t>
        </w:r>
      </w:hyperlink>
    </w:p>
    <w:p w:rsidR="005B007D" w:rsidRPr="00FF3ED2" w:rsidRDefault="00684FD4" w:rsidP="005B007D">
      <w:pPr>
        <w:spacing w:after="0" w:line="480" w:lineRule="auto"/>
        <w:ind w:left="851" w:hanging="851"/>
        <w:rPr>
          <w:rFonts w:ascii="Times New Roman" w:hAnsi="Times New Roman" w:cs="Times New Roman"/>
          <w:color w:val="000000" w:themeColor="text1"/>
          <w:sz w:val="24"/>
          <w:szCs w:val="24"/>
          <w:shd w:val="clear" w:color="auto" w:fill="FFFFFF"/>
        </w:rPr>
      </w:pPr>
      <w:r w:rsidRPr="00FF3ED2">
        <w:rPr>
          <w:rFonts w:ascii="Times New Roman" w:hAnsi="Times New Roman" w:cs="Times New Roman"/>
          <w:color w:val="000000" w:themeColor="text1"/>
          <w:sz w:val="24"/>
          <w:szCs w:val="24"/>
          <w:shd w:val="clear" w:color="auto" w:fill="FFFFFF"/>
        </w:rPr>
        <w:t xml:space="preserve">Zhang, Y., Wen, L., &amp; Wang, X. (2014). The effect of health education in patients with chronic low back pain. </w:t>
      </w:r>
      <w:r w:rsidRPr="00FF3ED2">
        <w:rPr>
          <w:rFonts w:ascii="Times New Roman" w:hAnsi="Times New Roman" w:cs="Times New Roman"/>
          <w:i/>
          <w:iCs/>
          <w:color w:val="000000" w:themeColor="text1"/>
          <w:sz w:val="24"/>
          <w:szCs w:val="24"/>
          <w:shd w:val="clear" w:color="auto" w:fill="FFFFFF"/>
        </w:rPr>
        <w:t>Journal of International Medical Research</w:t>
      </w:r>
      <w:r w:rsidRPr="00FF3ED2">
        <w:rPr>
          <w:rFonts w:ascii="Times New Roman" w:hAnsi="Times New Roman" w:cs="Times New Roman"/>
          <w:color w:val="000000" w:themeColor="text1"/>
          <w:sz w:val="24"/>
          <w:szCs w:val="24"/>
          <w:shd w:val="clear" w:color="auto" w:fill="FFFFFF"/>
        </w:rPr>
        <w:t>, </w:t>
      </w:r>
      <w:r w:rsidRPr="00FF3ED2">
        <w:rPr>
          <w:rFonts w:ascii="Times New Roman" w:hAnsi="Times New Roman" w:cs="Times New Roman"/>
          <w:i/>
          <w:iCs/>
          <w:color w:val="000000" w:themeColor="text1"/>
          <w:sz w:val="24"/>
          <w:szCs w:val="24"/>
          <w:shd w:val="clear" w:color="auto" w:fill="FFFFFF"/>
        </w:rPr>
        <w:t>42</w:t>
      </w:r>
      <w:r w:rsidRPr="00FF3ED2">
        <w:rPr>
          <w:rFonts w:ascii="Times New Roman" w:hAnsi="Times New Roman" w:cs="Times New Roman"/>
          <w:color w:val="000000" w:themeColor="text1"/>
          <w:sz w:val="24"/>
          <w:szCs w:val="24"/>
          <w:shd w:val="clear" w:color="auto" w:fill="FFFFFF"/>
        </w:rPr>
        <w:t xml:space="preserve">(3), 815-820. </w:t>
      </w:r>
      <w:hyperlink r:id="rId14" w:history="1">
        <w:r w:rsidRPr="00FF3ED2">
          <w:rPr>
            <w:rStyle w:val="Hyperlink"/>
            <w:rFonts w:ascii="Times New Roman" w:hAnsi="Times New Roman" w:cs="Times New Roman"/>
            <w:color w:val="000000" w:themeColor="text1"/>
            <w:sz w:val="24"/>
            <w:szCs w:val="24"/>
            <w:u w:val="none"/>
            <w:shd w:val="clear" w:color="auto" w:fill="FFFFFF"/>
          </w:rPr>
          <w:t>https://doi.org/10.1177/0300060514527059</w:t>
        </w:r>
      </w:hyperlink>
    </w:p>
    <w:sectPr w:rsidR="005B007D" w:rsidRPr="00FF3ED2" w:rsidSect="00C50DB8">
      <w:headerReference w:type="default" r:id="rId1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18B" w:rsidRDefault="0065718B" w:rsidP="00C50DB8">
      <w:pPr>
        <w:spacing w:after="0" w:line="240" w:lineRule="auto"/>
      </w:pPr>
      <w:r>
        <w:separator/>
      </w:r>
    </w:p>
  </w:endnote>
  <w:endnote w:type="continuationSeparator" w:id="1">
    <w:p w:rsidR="0065718B" w:rsidRDefault="0065718B" w:rsidP="00C50D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18B" w:rsidRDefault="0065718B" w:rsidP="00C50DB8">
      <w:pPr>
        <w:spacing w:after="0" w:line="240" w:lineRule="auto"/>
      </w:pPr>
      <w:r>
        <w:separator/>
      </w:r>
    </w:p>
  </w:footnote>
  <w:footnote w:type="continuationSeparator" w:id="1">
    <w:p w:rsidR="0065718B" w:rsidRDefault="0065718B" w:rsidP="00C50D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684983"/>
      <w:docPartObj>
        <w:docPartGallery w:val="Page Numbers (Top of Page)"/>
        <w:docPartUnique/>
      </w:docPartObj>
    </w:sdtPr>
    <w:sdtEndPr>
      <w:rPr>
        <w:rFonts w:ascii="Times New Roman" w:hAnsi="Times New Roman" w:cs="Times New Roman"/>
        <w:noProof/>
        <w:sz w:val="24"/>
        <w:szCs w:val="24"/>
      </w:rPr>
    </w:sdtEndPr>
    <w:sdtContent>
      <w:p w:rsidR="005B007D" w:rsidRPr="005B007D" w:rsidRDefault="00BA1E16">
        <w:pPr>
          <w:pStyle w:val="Header"/>
          <w:jc w:val="right"/>
          <w:rPr>
            <w:rFonts w:ascii="Times New Roman" w:hAnsi="Times New Roman" w:cs="Times New Roman"/>
            <w:sz w:val="24"/>
            <w:szCs w:val="24"/>
          </w:rPr>
        </w:pPr>
        <w:r w:rsidRPr="005B007D">
          <w:rPr>
            <w:rFonts w:ascii="Times New Roman" w:hAnsi="Times New Roman" w:cs="Times New Roman"/>
            <w:sz w:val="24"/>
            <w:szCs w:val="24"/>
          </w:rPr>
          <w:fldChar w:fldCharType="begin"/>
        </w:r>
        <w:r w:rsidR="00684FD4" w:rsidRPr="005B007D">
          <w:rPr>
            <w:rFonts w:ascii="Times New Roman" w:hAnsi="Times New Roman" w:cs="Times New Roman"/>
            <w:sz w:val="24"/>
            <w:szCs w:val="24"/>
          </w:rPr>
          <w:instrText xml:space="preserve"> PAGE   \* MERGEFORMAT </w:instrText>
        </w:r>
        <w:r w:rsidRPr="005B007D">
          <w:rPr>
            <w:rFonts w:ascii="Times New Roman" w:hAnsi="Times New Roman" w:cs="Times New Roman"/>
            <w:sz w:val="24"/>
            <w:szCs w:val="24"/>
          </w:rPr>
          <w:fldChar w:fldCharType="separate"/>
        </w:r>
        <w:r w:rsidR="007B7910">
          <w:rPr>
            <w:rFonts w:ascii="Times New Roman" w:hAnsi="Times New Roman" w:cs="Times New Roman"/>
            <w:noProof/>
            <w:sz w:val="24"/>
            <w:szCs w:val="24"/>
          </w:rPr>
          <w:t>1</w:t>
        </w:r>
        <w:r w:rsidRPr="005B007D">
          <w:rPr>
            <w:rFonts w:ascii="Times New Roman" w:hAnsi="Times New Roman" w:cs="Times New Roman"/>
            <w:noProof/>
            <w:sz w:val="24"/>
            <w:szCs w:val="24"/>
          </w:rPr>
          <w:fldChar w:fldCharType="end"/>
        </w:r>
      </w:p>
    </w:sdtContent>
  </w:sdt>
  <w:p w:rsidR="005B007D" w:rsidRDefault="005B00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00BBA"/>
    <w:multiLevelType w:val="hybridMultilevel"/>
    <w:tmpl w:val="A850B1A6"/>
    <w:lvl w:ilvl="0" w:tplc="97C4C6BC">
      <w:start w:val="1"/>
      <w:numFmt w:val="decimal"/>
      <w:lvlText w:val="%1."/>
      <w:lvlJc w:val="left"/>
      <w:pPr>
        <w:ind w:left="720" w:hanging="360"/>
      </w:pPr>
      <w:rPr>
        <w:rFonts w:hint="default"/>
      </w:rPr>
    </w:lvl>
    <w:lvl w:ilvl="1" w:tplc="922AFA60" w:tentative="1">
      <w:start w:val="1"/>
      <w:numFmt w:val="lowerLetter"/>
      <w:lvlText w:val="%2."/>
      <w:lvlJc w:val="left"/>
      <w:pPr>
        <w:ind w:left="1440" w:hanging="360"/>
      </w:pPr>
    </w:lvl>
    <w:lvl w:ilvl="2" w:tplc="CF9C4C9E" w:tentative="1">
      <w:start w:val="1"/>
      <w:numFmt w:val="lowerRoman"/>
      <w:lvlText w:val="%3."/>
      <w:lvlJc w:val="right"/>
      <w:pPr>
        <w:ind w:left="2160" w:hanging="180"/>
      </w:pPr>
    </w:lvl>
    <w:lvl w:ilvl="3" w:tplc="A5C29BF8" w:tentative="1">
      <w:start w:val="1"/>
      <w:numFmt w:val="decimal"/>
      <w:lvlText w:val="%4."/>
      <w:lvlJc w:val="left"/>
      <w:pPr>
        <w:ind w:left="2880" w:hanging="360"/>
      </w:pPr>
    </w:lvl>
    <w:lvl w:ilvl="4" w:tplc="14E0296E" w:tentative="1">
      <w:start w:val="1"/>
      <w:numFmt w:val="lowerLetter"/>
      <w:lvlText w:val="%5."/>
      <w:lvlJc w:val="left"/>
      <w:pPr>
        <w:ind w:left="3600" w:hanging="360"/>
      </w:pPr>
    </w:lvl>
    <w:lvl w:ilvl="5" w:tplc="E29E6C84" w:tentative="1">
      <w:start w:val="1"/>
      <w:numFmt w:val="lowerRoman"/>
      <w:lvlText w:val="%6."/>
      <w:lvlJc w:val="right"/>
      <w:pPr>
        <w:ind w:left="4320" w:hanging="180"/>
      </w:pPr>
    </w:lvl>
    <w:lvl w:ilvl="6" w:tplc="6B226FDC" w:tentative="1">
      <w:start w:val="1"/>
      <w:numFmt w:val="decimal"/>
      <w:lvlText w:val="%7."/>
      <w:lvlJc w:val="left"/>
      <w:pPr>
        <w:ind w:left="5040" w:hanging="360"/>
      </w:pPr>
    </w:lvl>
    <w:lvl w:ilvl="7" w:tplc="B42468DE" w:tentative="1">
      <w:start w:val="1"/>
      <w:numFmt w:val="lowerLetter"/>
      <w:lvlText w:val="%8."/>
      <w:lvlJc w:val="left"/>
      <w:pPr>
        <w:ind w:left="5760" w:hanging="360"/>
      </w:pPr>
    </w:lvl>
    <w:lvl w:ilvl="8" w:tplc="93245B88" w:tentative="1">
      <w:start w:val="1"/>
      <w:numFmt w:val="lowerRoman"/>
      <w:lvlText w:val="%9."/>
      <w:lvlJc w:val="right"/>
      <w:pPr>
        <w:ind w:left="6480" w:hanging="180"/>
      </w:pPr>
    </w:lvl>
  </w:abstractNum>
  <w:abstractNum w:abstractNumId="1">
    <w:nsid w:val="6DE670EC"/>
    <w:multiLevelType w:val="hybridMultilevel"/>
    <w:tmpl w:val="0178D81E"/>
    <w:lvl w:ilvl="0" w:tplc="80CC8B50">
      <w:start w:val="1"/>
      <w:numFmt w:val="decimal"/>
      <w:lvlText w:val="%1."/>
      <w:lvlJc w:val="left"/>
      <w:pPr>
        <w:ind w:left="720" w:hanging="360"/>
      </w:pPr>
      <w:rPr>
        <w:rFonts w:hint="default"/>
      </w:rPr>
    </w:lvl>
    <w:lvl w:ilvl="1" w:tplc="03EE36D4" w:tentative="1">
      <w:start w:val="1"/>
      <w:numFmt w:val="lowerLetter"/>
      <w:lvlText w:val="%2."/>
      <w:lvlJc w:val="left"/>
      <w:pPr>
        <w:ind w:left="1440" w:hanging="360"/>
      </w:pPr>
    </w:lvl>
    <w:lvl w:ilvl="2" w:tplc="CCB61BF2" w:tentative="1">
      <w:start w:val="1"/>
      <w:numFmt w:val="lowerRoman"/>
      <w:lvlText w:val="%3."/>
      <w:lvlJc w:val="right"/>
      <w:pPr>
        <w:ind w:left="2160" w:hanging="180"/>
      </w:pPr>
    </w:lvl>
    <w:lvl w:ilvl="3" w:tplc="83CEFB34" w:tentative="1">
      <w:start w:val="1"/>
      <w:numFmt w:val="decimal"/>
      <w:lvlText w:val="%4."/>
      <w:lvlJc w:val="left"/>
      <w:pPr>
        <w:ind w:left="2880" w:hanging="360"/>
      </w:pPr>
    </w:lvl>
    <w:lvl w:ilvl="4" w:tplc="839A4382" w:tentative="1">
      <w:start w:val="1"/>
      <w:numFmt w:val="lowerLetter"/>
      <w:lvlText w:val="%5."/>
      <w:lvlJc w:val="left"/>
      <w:pPr>
        <w:ind w:left="3600" w:hanging="360"/>
      </w:pPr>
    </w:lvl>
    <w:lvl w:ilvl="5" w:tplc="4F063348" w:tentative="1">
      <w:start w:val="1"/>
      <w:numFmt w:val="lowerRoman"/>
      <w:lvlText w:val="%6."/>
      <w:lvlJc w:val="right"/>
      <w:pPr>
        <w:ind w:left="4320" w:hanging="180"/>
      </w:pPr>
    </w:lvl>
    <w:lvl w:ilvl="6" w:tplc="AA4A4F04" w:tentative="1">
      <w:start w:val="1"/>
      <w:numFmt w:val="decimal"/>
      <w:lvlText w:val="%7."/>
      <w:lvlJc w:val="left"/>
      <w:pPr>
        <w:ind w:left="5040" w:hanging="360"/>
      </w:pPr>
    </w:lvl>
    <w:lvl w:ilvl="7" w:tplc="DD689FD8" w:tentative="1">
      <w:start w:val="1"/>
      <w:numFmt w:val="lowerLetter"/>
      <w:lvlText w:val="%8."/>
      <w:lvlJc w:val="left"/>
      <w:pPr>
        <w:ind w:left="5760" w:hanging="360"/>
      </w:pPr>
    </w:lvl>
    <w:lvl w:ilvl="8" w:tplc="A53A186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40404"/>
    <w:rsid w:val="00016C83"/>
    <w:rsid w:val="000224B2"/>
    <w:rsid w:val="000D0A61"/>
    <w:rsid w:val="000E31D9"/>
    <w:rsid w:val="00120293"/>
    <w:rsid w:val="00167BFF"/>
    <w:rsid w:val="00224838"/>
    <w:rsid w:val="00281894"/>
    <w:rsid w:val="00296B22"/>
    <w:rsid w:val="0036028A"/>
    <w:rsid w:val="003A5062"/>
    <w:rsid w:val="003D6B24"/>
    <w:rsid w:val="004442FE"/>
    <w:rsid w:val="004B5FE4"/>
    <w:rsid w:val="004C5DA7"/>
    <w:rsid w:val="004D4E48"/>
    <w:rsid w:val="004F5ACA"/>
    <w:rsid w:val="005B007D"/>
    <w:rsid w:val="005B56E5"/>
    <w:rsid w:val="005B5F46"/>
    <w:rsid w:val="005D08B4"/>
    <w:rsid w:val="005D1336"/>
    <w:rsid w:val="005E2BED"/>
    <w:rsid w:val="00645480"/>
    <w:rsid w:val="0065718B"/>
    <w:rsid w:val="00661770"/>
    <w:rsid w:val="00684FD4"/>
    <w:rsid w:val="006C383D"/>
    <w:rsid w:val="00740404"/>
    <w:rsid w:val="00763DC6"/>
    <w:rsid w:val="00781B07"/>
    <w:rsid w:val="007B74CF"/>
    <w:rsid w:val="007B7910"/>
    <w:rsid w:val="007C19A2"/>
    <w:rsid w:val="007E4F92"/>
    <w:rsid w:val="008C5D6F"/>
    <w:rsid w:val="009D7778"/>
    <w:rsid w:val="00A16630"/>
    <w:rsid w:val="00A84D65"/>
    <w:rsid w:val="00B159E2"/>
    <w:rsid w:val="00BA1E16"/>
    <w:rsid w:val="00C50DB8"/>
    <w:rsid w:val="00D53B26"/>
    <w:rsid w:val="00DD3B1B"/>
    <w:rsid w:val="00DD440C"/>
    <w:rsid w:val="00E80F46"/>
    <w:rsid w:val="00F3564D"/>
    <w:rsid w:val="00FF3E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D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336"/>
    <w:pPr>
      <w:ind w:left="720"/>
      <w:contextualSpacing/>
    </w:pPr>
  </w:style>
  <w:style w:type="character" w:styleId="Hyperlink">
    <w:name w:val="Hyperlink"/>
    <w:basedOn w:val="DefaultParagraphFont"/>
    <w:uiPriority w:val="99"/>
    <w:unhideWhenUsed/>
    <w:rsid w:val="00D53B26"/>
    <w:rPr>
      <w:color w:val="0563C1" w:themeColor="hyperlink"/>
      <w:u w:val="single"/>
    </w:rPr>
  </w:style>
  <w:style w:type="character" w:customStyle="1" w:styleId="UnresolvedMention">
    <w:name w:val="Unresolved Mention"/>
    <w:basedOn w:val="DefaultParagraphFont"/>
    <w:uiPriority w:val="99"/>
    <w:semiHidden/>
    <w:unhideWhenUsed/>
    <w:rsid w:val="00D53B26"/>
    <w:rPr>
      <w:color w:val="605E5C"/>
      <w:shd w:val="clear" w:color="auto" w:fill="E1DFDD"/>
    </w:rPr>
  </w:style>
  <w:style w:type="paragraph" w:styleId="Header">
    <w:name w:val="header"/>
    <w:basedOn w:val="Normal"/>
    <w:link w:val="HeaderChar"/>
    <w:uiPriority w:val="99"/>
    <w:unhideWhenUsed/>
    <w:rsid w:val="005B00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007D"/>
  </w:style>
  <w:style w:type="paragraph" w:styleId="Footer">
    <w:name w:val="footer"/>
    <w:basedOn w:val="Normal"/>
    <w:link w:val="FooterChar"/>
    <w:uiPriority w:val="99"/>
    <w:unhideWhenUsed/>
    <w:rsid w:val="005B00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07D"/>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2327-6924.12510" TargetMode="External"/><Relationship Id="rId13" Type="http://schemas.openxmlformats.org/officeDocument/2006/relationships/hyperlink" Target="https://doi.org/10.1186/s13063-016-1637-1" TargetMode="External"/><Relationship Id="rId3" Type="http://schemas.openxmlformats.org/officeDocument/2006/relationships/settings" Target="settings.xml"/><Relationship Id="rId7" Type="http://schemas.openxmlformats.org/officeDocument/2006/relationships/hyperlink" Target="https://doi.org/10.12688/f1000research.8105.2" TargetMode="External"/><Relationship Id="rId12" Type="http://schemas.openxmlformats.org/officeDocument/2006/relationships/hyperlink" Target="https://doi.org/10.1038/sj.bjc.660542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36/bmjopen-2017-019275"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07/s11906-019-0949-4" TargetMode="External"/><Relationship Id="rId4" Type="http://schemas.openxmlformats.org/officeDocument/2006/relationships/webSettings" Target="webSettings.xml"/><Relationship Id="rId9" Type="http://schemas.openxmlformats.org/officeDocument/2006/relationships/hyperlink" Target="https://doi.org/10.1186/s12955-018-1018-4" TargetMode="External"/><Relationship Id="rId14" Type="http://schemas.openxmlformats.org/officeDocument/2006/relationships/hyperlink" Target="https://doi.org/10.1177/0300060514527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2632</Words>
  <Characters>15008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2020-10-30T06:47:00Z</dcterms:created>
  <dcterms:modified xsi:type="dcterms:W3CDTF">2020-10-30T06:47:00Z</dcterms:modified>
</cp:coreProperties>
</file>